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1116"/>
        <w:tblW w:w="10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6068"/>
        <w:gridCol w:w="2212"/>
      </w:tblGrid>
      <w:tr w:rsidR="00A97E70" w:rsidRPr="00820409" w14:paraId="486D4458" w14:textId="77777777" w:rsidTr="00061018">
        <w:trPr>
          <w:trHeight w:val="154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F809D" w14:textId="77777777" w:rsidR="00A97E70" w:rsidRPr="00820409" w:rsidRDefault="00A97E70" w:rsidP="00061018">
            <w:pPr>
              <w:spacing w:after="200" w:line="276" w:lineRule="auto"/>
              <w:rPr>
                <w:rFonts w:ascii="Calibri" w:eastAsia="Calibri" w:hAnsi="Calibri" w:cs="Times New Roman"/>
              </w:rPr>
            </w:pPr>
            <w:r w:rsidRPr="00820409">
              <w:rPr>
                <w:rFonts w:ascii="Calibri" w:eastAsia="Calibri" w:hAnsi="Calibri" w:cs="Times New Roman"/>
                <w:noProof/>
              </w:rPr>
              <w:drawing>
                <wp:inline distT="0" distB="0" distL="0" distR="0" wp14:anchorId="22E3C7ED" wp14:editId="17798E6A">
                  <wp:extent cx="1356075" cy="615487"/>
                  <wp:effectExtent l="0" t="0" r="0" b="0"/>
                  <wp:docPr id="2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0"/>
                          <a:srcRect/>
                          <a:stretch>
                            <a:fillRect/>
                          </a:stretch>
                        </pic:blipFill>
                        <pic:spPr>
                          <a:xfrm>
                            <a:off x="0" y="0"/>
                            <a:ext cx="1356075" cy="615487"/>
                          </a:xfrm>
                          <a:prstGeom prst="rect">
                            <a:avLst/>
                          </a:prstGeom>
                          <a:ln/>
                        </pic:spPr>
                      </pic:pic>
                    </a:graphicData>
                  </a:graphic>
                </wp:inline>
              </w:drawing>
            </w:r>
          </w:p>
        </w:tc>
        <w:tc>
          <w:tcPr>
            <w:tcW w:w="60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D5D9AE" w14:textId="77777777" w:rsidR="00A97E70" w:rsidRPr="00820409" w:rsidRDefault="00A97E70" w:rsidP="00061018">
            <w:pPr>
              <w:spacing w:after="200" w:line="276" w:lineRule="auto"/>
              <w:jc w:val="center"/>
              <w:rPr>
                <w:rFonts w:ascii="Arial" w:eastAsia="Arial" w:hAnsi="Arial" w:cs="Arial"/>
                <w:b/>
                <w:sz w:val="26"/>
                <w:szCs w:val="26"/>
              </w:rPr>
            </w:pPr>
            <w:r w:rsidRPr="00820409">
              <w:rPr>
                <w:rFonts w:ascii="Arial" w:eastAsia="Arial" w:hAnsi="Arial" w:cs="Arial"/>
                <w:b/>
                <w:sz w:val="26"/>
                <w:szCs w:val="26"/>
              </w:rPr>
              <w:t>INSTITUTO PARA A QUALIFICAÇÃO, IP - RAM</w:t>
            </w:r>
          </w:p>
          <w:p w14:paraId="7A0CCF75" w14:textId="77777777" w:rsidR="00A97E70" w:rsidRPr="00820409" w:rsidRDefault="00A97E70" w:rsidP="00061018">
            <w:pPr>
              <w:spacing w:after="200" w:line="276" w:lineRule="auto"/>
              <w:jc w:val="center"/>
              <w:rPr>
                <w:rFonts w:ascii="Arial" w:eastAsia="Arial" w:hAnsi="Arial" w:cs="Arial"/>
                <w:b/>
                <w:sz w:val="26"/>
                <w:szCs w:val="26"/>
              </w:rPr>
            </w:pPr>
            <w:r w:rsidRPr="00820409">
              <w:rPr>
                <w:rFonts w:ascii="Arial" w:eastAsia="Arial" w:hAnsi="Arial" w:cs="Arial"/>
                <w:b/>
                <w:sz w:val="26"/>
                <w:szCs w:val="26"/>
              </w:rPr>
              <w:t>Escola Profissional Dr. Francisco Fernandes</w:t>
            </w:r>
          </w:p>
          <w:p w14:paraId="587FC765" w14:textId="77777777" w:rsidR="00A97E70" w:rsidRPr="00820409" w:rsidRDefault="00A97E70" w:rsidP="00061018">
            <w:pPr>
              <w:spacing w:after="200" w:line="276" w:lineRule="auto"/>
              <w:jc w:val="center"/>
              <w:rPr>
                <w:rFonts w:ascii="Arial" w:eastAsia="Arial" w:hAnsi="Arial" w:cs="Arial"/>
                <w:sz w:val="26"/>
                <w:szCs w:val="26"/>
              </w:rPr>
            </w:pPr>
            <w:r w:rsidRPr="00820409">
              <w:rPr>
                <w:rFonts w:ascii="Arial" w:eastAsia="Arial" w:hAnsi="Arial" w:cs="Arial"/>
                <w:sz w:val="26"/>
                <w:szCs w:val="26"/>
              </w:rPr>
              <w:t>Curso de Educação e Formação de Adultos</w:t>
            </w:r>
          </w:p>
          <w:p w14:paraId="39114C54" w14:textId="77777777" w:rsidR="00A97E70" w:rsidRPr="00820409" w:rsidRDefault="00A97E70" w:rsidP="00061018">
            <w:pPr>
              <w:spacing w:after="200" w:line="276" w:lineRule="auto"/>
              <w:jc w:val="center"/>
              <w:rPr>
                <w:rFonts w:ascii="Arial" w:eastAsia="Arial" w:hAnsi="Arial" w:cs="Arial"/>
                <w:sz w:val="18"/>
                <w:szCs w:val="18"/>
              </w:rPr>
            </w:pPr>
            <w:r w:rsidRPr="00820409">
              <w:rPr>
                <w:rFonts w:eastAsia="Calibri" w:cs="Arial"/>
              </w:rPr>
              <w:t>Portaria n.º 80/2008, de 27 de junho alterada pelas Portarias nº194/2008 de 3 de novembro e n.º 74/2011 de 30 de junho)</w:t>
            </w:r>
          </w:p>
          <w:p w14:paraId="67A9F5CD" w14:textId="77777777" w:rsidR="00A97E70" w:rsidRPr="00820409" w:rsidRDefault="00A97E70" w:rsidP="00061018">
            <w:pPr>
              <w:spacing w:after="200" w:line="276" w:lineRule="auto"/>
              <w:jc w:val="center"/>
              <w:rPr>
                <w:rFonts w:ascii="Arial" w:eastAsia="Arial" w:hAnsi="Arial" w:cs="Arial"/>
              </w:rPr>
            </w:pPr>
            <w:r w:rsidRPr="00820409">
              <w:rPr>
                <w:rFonts w:ascii="Arial" w:eastAsia="Arial" w:hAnsi="Arial" w:cs="Arial"/>
                <w:sz w:val="26"/>
                <w:szCs w:val="26"/>
              </w:rPr>
              <w:t xml:space="preserve">Nível Secundário – </w:t>
            </w:r>
            <w:proofErr w:type="gramStart"/>
            <w:r w:rsidRPr="00820409">
              <w:rPr>
                <w:rFonts w:ascii="Arial" w:eastAsia="Arial" w:hAnsi="Arial" w:cs="Arial"/>
                <w:sz w:val="26"/>
                <w:szCs w:val="26"/>
              </w:rPr>
              <w:t>Dupla  Certificação</w:t>
            </w:r>
            <w:proofErr w:type="gramEnd"/>
            <w:r w:rsidRPr="00820409">
              <w:rPr>
                <w:rFonts w:ascii="Arial" w:eastAsia="Arial" w:hAnsi="Arial" w:cs="Arial"/>
                <w:sz w:val="26"/>
                <w:szCs w:val="26"/>
              </w:rPr>
              <w:t xml:space="preserve"> Escolar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4797A7" w14:textId="77777777" w:rsidR="00A97E70" w:rsidRPr="00820409" w:rsidRDefault="00A97E70" w:rsidP="00061018">
            <w:pPr>
              <w:spacing w:after="200" w:line="276" w:lineRule="auto"/>
              <w:jc w:val="center"/>
              <w:rPr>
                <w:rFonts w:ascii="Arial" w:eastAsia="Arial" w:hAnsi="Arial" w:cs="Arial"/>
              </w:rPr>
            </w:pPr>
            <w:r w:rsidRPr="00820409">
              <w:rPr>
                <w:rFonts w:ascii="Arial" w:eastAsia="Arial" w:hAnsi="Arial" w:cs="Arial"/>
              </w:rPr>
              <w:t>Turma:</w:t>
            </w:r>
          </w:p>
          <w:p w14:paraId="1B91EE3C" w14:textId="77777777" w:rsidR="00A97E70" w:rsidRPr="00820409" w:rsidRDefault="00A97E70" w:rsidP="00061018">
            <w:pPr>
              <w:spacing w:after="200" w:line="276" w:lineRule="auto"/>
              <w:jc w:val="center"/>
              <w:rPr>
                <w:rFonts w:ascii="Arial" w:eastAsia="Arial" w:hAnsi="Arial" w:cs="Arial"/>
              </w:rPr>
            </w:pPr>
            <w:r w:rsidRPr="00820409">
              <w:rPr>
                <w:rFonts w:ascii="Arial" w:eastAsia="Arial" w:hAnsi="Arial" w:cs="Arial"/>
                <w:b/>
              </w:rPr>
              <w:t>T</w:t>
            </w:r>
            <w:r>
              <w:rPr>
                <w:rFonts w:ascii="Arial" w:eastAsia="Arial" w:hAnsi="Arial" w:cs="Arial"/>
                <w:b/>
              </w:rPr>
              <w:t>IS 2</w:t>
            </w:r>
          </w:p>
        </w:tc>
      </w:tr>
    </w:tbl>
    <w:p w14:paraId="56098538" w14:textId="072E769D" w:rsidR="046A9F6F" w:rsidRDefault="046A9F6F"/>
    <w:p w14:paraId="0B88A3F7" w14:textId="304C10D9" w:rsidR="09079E07" w:rsidRDefault="09079E07"/>
    <w:p w14:paraId="1328CCDC" w14:textId="74AB217D" w:rsidR="09079E07" w:rsidRDefault="09079E07">
      <w:r w:rsidRPr="046A9F6F">
        <w:rPr>
          <w:rFonts w:ascii="Times New Roman" w:eastAsia="Times New Roman" w:hAnsi="Times New Roman" w:cs="Times New Roman"/>
          <w:sz w:val="24"/>
          <w:szCs w:val="24"/>
        </w:rPr>
        <w:t>Proposta de validação</w:t>
      </w:r>
      <w:r w:rsidR="00B25229">
        <w:rPr>
          <w:rFonts w:ascii="Times New Roman" w:eastAsia="Times New Roman" w:hAnsi="Times New Roman" w:cs="Times New Roman"/>
          <w:sz w:val="24"/>
          <w:szCs w:val="24"/>
        </w:rPr>
        <w:t>: STC_7_</w:t>
      </w:r>
      <w:r w:rsidR="00B25229">
        <w:t>Sociedade, tecnologia e ciência - fundamentos</w:t>
      </w:r>
    </w:p>
    <w:p w14:paraId="59DB07BF" w14:textId="5D47295A" w:rsidR="046A9F6F" w:rsidRDefault="046A9F6F" w:rsidP="046A9F6F"/>
    <w:p w14:paraId="61228EF9" w14:textId="7ED5BFC4" w:rsidR="046A9F6F" w:rsidRDefault="046A9F6F"/>
    <w:p w14:paraId="4FCCB7EC" w14:textId="77777777" w:rsidR="00820409" w:rsidRDefault="00820409">
      <w:r>
        <w:t>Proposta de atividade</w:t>
      </w:r>
    </w:p>
    <w:p w14:paraId="702A45B5" w14:textId="77777777" w:rsidR="00D25F91" w:rsidRPr="00D25F91" w:rsidRDefault="00820409" w:rsidP="00820409">
      <w:pPr>
        <w:numPr>
          <w:ilvl w:val="1"/>
          <w:numId w:val="2"/>
        </w:numPr>
        <w:spacing w:after="200" w:line="276" w:lineRule="auto"/>
        <w:contextualSpacing/>
        <w:rPr>
          <w:rFonts w:ascii="Calibri" w:eastAsia="Calibri" w:hAnsi="Calibri" w:cs="Calibri"/>
          <w:sz w:val="16"/>
        </w:rPr>
      </w:pPr>
      <w:r w:rsidRPr="00820409">
        <w:rPr>
          <w:rFonts w:ascii="Calibri" w:eastAsia="Calibri" w:hAnsi="Calibri" w:cs="Times New Roman"/>
          <w:sz w:val="24"/>
          <w:szCs w:val="24"/>
        </w:rPr>
        <w:t xml:space="preserve">Após </w:t>
      </w:r>
      <w:r w:rsidRPr="00D25F91">
        <w:rPr>
          <w:rFonts w:ascii="Calibri" w:eastAsia="Calibri" w:hAnsi="Calibri" w:cs="Times New Roman"/>
          <w:sz w:val="24"/>
          <w:szCs w:val="24"/>
        </w:rPr>
        <w:t xml:space="preserve">o visionamento do filme </w:t>
      </w:r>
      <w:r w:rsidR="00D25F91" w:rsidRPr="00D25F91">
        <w:rPr>
          <w:rFonts w:ascii="Calibri" w:eastAsia="Calibri" w:hAnsi="Calibri" w:cs="Times New Roman"/>
          <w:sz w:val="24"/>
          <w:szCs w:val="24"/>
        </w:rPr>
        <w:t>“A Ilha”</w:t>
      </w:r>
      <w:r w:rsidRPr="00820409">
        <w:rPr>
          <w:rFonts w:ascii="Calibri" w:eastAsia="Calibri" w:hAnsi="Calibri" w:cs="Times New Roman"/>
          <w:sz w:val="24"/>
          <w:szCs w:val="24"/>
        </w:rPr>
        <w:t xml:space="preserve"> </w:t>
      </w:r>
    </w:p>
    <w:p w14:paraId="2CEB978B" w14:textId="77777777" w:rsidR="00820409" w:rsidRPr="00820409" w:rsidRDefault="00820409" w:rsidP="00820409">
      <w:pPr>
        <w:numPr>
          <w:ilvl w:val="1"/>
          <w:numId w:val="2"/>
        </w:numPr>
        <w:spacing w:after="200" w:line="276" w:lineRule="auto"/>
        <w:contextualSpacing/>
        <w:rPr>
          <w:rFonts w:ascii="Calibri" w:eastAsia="Calibri" w:hAnsi="Calibri" w:cs="Calibri"/>
          <w:sz w:val="16"/>
        </w:rPr>
      </w:pPr>
      <w:r w:rsidRPr="00820409">
        <w:rPr>
          <w:rFonts w:ascii="Calibri" w:eastAsia="Calibri" w:hAnsi="Calibri" w:cs="Times New Roman"/>
          <w:sz w:val="24"/>
          <w:szCs w:val="24"/>
        </w:rPr>
        <w:t xml:space="preserve">Faça uma reflexão crítica sobre a </w:t>
      </w:r>
      <w:r w:rsidR="00D25F91">
        <w:rPr>
          <w:rFonts w:ascii="Calibri" w:eastAsia="Calibri" w:hAnsi="Calibri" w:cs="Times New Roman"/>
          <w:sz w:val="24"/>
          <w:szCs w:val="24"/>
        </w:rPr>
        <w:t>clonagem</w:t>
      </w:r>
      <w:r w:rsidRPr="00820409">
        <w:rPr>
          <w:rFonts w:ascii="Calibri" w:eastAsia="Calibri" w:hAnsi="Calibri" w:cs="Times New Roman"/>
          <w:sz w:val="24"/>
          <w:szCs w:val="24"/>
        </w:rPr>
        <w:t>.</w:t>
      </w:r>
      <w:r w:rsidRPr="00820409">
        <w:rPr>
          <w:rFonts w:ascii="Calibri" w:eastAsia="Calibri" w:hAnsi="Calibri" w:cs="Calibri"/>
          <w:sz w:val="16"/>
        </w:rPr>
        <w:t xml:space="preserve"> </w:t>
      </w:r>
    </w:p>
    <w:p w14:paraId="3CBB597C" w14:textId="77777777" w:rsidR="00820409" w:rsidRPr="00820409" w:rsidRDefault="00820409" w:rsidP="00820409">
      <w:pPr>
        <w:numPr>
          <w:ilvl w:val="1"/>
          <w:numId w:val="2"/>
        </w:numPr>
        <w:spacing w:after="200" w:line="276" w:lineRule="auto"/>
        <w:contextualSpacing/>
        <w:rPr>
          <w:rFonts w:ascii="Calibri" w:eastAsia="Calibri" w:hAnsi="Calibri" w:cs="Calibri"/>
          <w:sz w:val="24"/>
          <w:szCs w:val="24"/>
        </w:rPr>
      </w:pPr>
      <w:r w:rsidRPr="00820409">
        <w:rPr>
          <w:rFonts w:ascii="Calibri" w:eastAsia="Calibri" w:hAnsi="Calibri" w:cs="Calibri"/>
          <w:sz w:val="24"/>
          <w:szCs w:val="24"/>
        </w:rPr>
        <w:t xml:space="preserve">Debate sobre as diversas opiniões </w:t>
      </w:r>
      <w:r w:rsidR="00D25F91">
        <w:rPr>
          <w:rFonts w:ascii="Calibri" w:eastAsia="Calibri" w:hAnsi="Calibri" w:cs="Calibri"/>
          <w:sz w:val="24"/>
          <w:szCs w:val="24"/>
        </w:rPr>
        <w:t>clonagem humana</w:t>
      </w:r>
      <w:r w:rsidRPr="00820409">
        <w:rPr>
          <w:rFonts w:ascii="Calibri" w:eastAsia="Calibri" w:hAnsi="Calibri" w:cs="Calibri"/>
          <w:sz w:val="24"/>
          <w:szCs w:val="24"/>
        </w:rPr>
        <w:t>.</w:t>
      </w:r>
    </w:p>
    <w:p w14:paraId="672A6659" w14:textId="77777777" w:rsidR="00820409" w:rsidRPr="00820409" w:rsidRDefault="00820409" w:rsidP="00820409">
      <w:pPr>
        <w:spacing w:after="200" w:line="276" w:lineRule="auto"/>
        <w:rPr>
          <w:rFonts w:ascii="Calibri" w:eastAsia="Calibri" w:hAnsi="Calibri" w:cs="Calibri"/>
          <w:sz w:val="16"/>
        </w:rPr>
      </w:pPr>
    </w:p>
    <w:p w14:paraId="17DDFB68" w14:textId="77777777" w:rsidR="00A97E70" w:rsidRPr="007818B1" w:rsidRDefault="00A97E70" w:rsidP="00A97E70">
      <w:pPr>
        <w:jc w:val="center"/>
        <w:rPr>
          <w:rFonts w:ascii="Arial" w:hAnsi="Arial" w:cs="Arial"/>
          <w:b/>
          <w:color w:val="4472C4" w:themeColor="accent1"/>
          <w:sz w:val="40"/>
          <w:szCs w:val="40"/>
        </w:rPr>
      </w:pPr>
      <w:r w:rsidRPr="007818B1">
        <w:rPr>
          <w:rFonts w:ascii="Arial" w:hAnsi="Arial" w:cs="Arial"/>
          <w:b/>
          <w:color w:val="4472C4" w:themeColor="accent1"/>
          <w:sz w:val="40"/>
          <w:szCs w:val="40"/>
        </w:rPr>
        <w:t>Reflexão sobre clonagem humana</w:t>
      </w:r>
    </w:p>
    <w:p w14:paraId="3A028D16" w14:textId="77777777" w:rsidR="00A97E70" w:rsidRPr="007818B1" w:rsidRDefault="00A97E70" w:rsidP="00A97E70">
      <w:pPr>
        <w:jc w:val="center"/>
        <w:rPr>
          <w:rFonts w:ascii="Arial" w:hAnsi="Arial" w:cs="Arial"/>
          <w:color w:val="4472C4" w:themeColor="accent1"/>
        </w:rPr>
      </w:pPr>
    </w:p>
    <w:p w14:paraId="0EEB69B3"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color w:val="4472C4" w:themeColor="accent1"/>
          <w:sz w:val="24"/>
          <w:szCs w:val="24"/>
        </w:rPr>
        <w:t>A clonagem humana se for vista com a finalidade terapêutica/medicinal, pode realmente trazer tanto vantagens como desvantagens para os seres humanos.</w:t>
      </w:r>
    </w:p>
    <w:p w14:paraId="7842B04C"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b/>
          <w:color w:val="4472C4" w:themeColor="accent1"/>
          <w:sz w:val="24"/>
          <w:szCs w:val="24"/>
        </w:rPr>
        <w:t>Como vantagens:</w:t>
      </w:r>
      <w:r w:rsidRPr="007818B1">
        <w:rPr>
          <w:rFonts w:ascii="Arial" w:hAnsi="Arial" w:cs="Arial"/>
          <w:color w:val="4472C4" w:themeColor="accent1"/>
          <w:sz w:val="24"/>
          <w:szCs w:val="24"/>
        </w:rPr>
        <w:t xml:space="preserve"> pode trazer a possibilidade de curar um humano de uma doença grave, procedendo-se ao transplante de órgãos se assim for necessário, desta forma é quase certo que cada pessoa (original) que tenha um clone, possa viver sem preocupações ou medo de morrer devido a doenças.</w:t>
      </w:r>
    </w:p>
    <w:p w14:paraId="31723D42"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b/>
          <w:color w:val="4472C4" w:themeColor="accent1"/>
          <w:sz w:val="24"/>
          <w:szCs w:val="24"/>
        </w:rPr>
        <w:t>Como desvantagens:</w:t>
      </w:r>
      <w:r w:rsidRPr="007818B1">
        <w:rPr>
          <w:rFonts w:ascii="Arial" w:hAnsi="Arial" w:cs="Arial"/>
          <w:color w:val="4472C4" w:themeColor="accent1"/>
          <w:sz w:val="24"/>
          <w:szCs w:val="24"/>
        </w:rPr>
        <w:t xml:space="preserve"> ao fazer clonagem humana, existem diversos fatores que podem fazer com que tudo corra mal, ou seja, clonar uma pessoa que tenha indícios de doenças no seu ADN, mesmo que essa pessoa não saiba da existência dessas doenças, faz com que a intenção de curar esse ser humano mais tarde se torne inviável, porque ao clonar uma pessoa nessas condições e como o clone vai ficar geneticamente igual, este vai mais tarde ou mais cedo ter essas doenças manifestadas. Nessa altura e ocorrendo uma situação destas, quem se responsabiliza?</w:t>
      </w:r>
    </w:p>
    <w:p w14:paraId="06A4EB51"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color w:val="4472C4" w:themeColor="accent1"/>
          <w:sz w:val="24"/>
          <w:szCs w:val="24"/>
        </w:rPr>
        <w:t>Logo se a questão era salvar 1 vida, aqui perdem-se 2 vidas!</w:t>
      </w:r>
    </w:p>
    <w:p w14:paraId="7FE429D6" w14:textId="77777777" w:rsidR="00A97E70" w:rsidRPr="007818B1" w:rsidRDefault="00A97E70" w:rsidP="00A97E70">
      <w:pPr>
        <w:jc w:val="both"/>
        <w:rPr>
          <w:rFonts w:ascii="Arial" w:hAnsi="Arial" w:cs="Arial"/>
          <w:color w:val="4472C4" w:themeColor="accent1"/>
          <w:sz w:val="24"/>
          <w:szCs w:val="24"/>
        </w:rPr>
      </w:pPr>
    </w:p>
    <w:p w14:paraId="6F25E569"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b/>
          <w:color w:val="4472C4" w:themeColor="accent1"/>
          <w:sz w:val="24"/>
          <w:szCs w:val="24"/>
        </w:rPr>
        <w:t>A nível ético:</w:t>
      </w:r>
      <w:r w:rsidRPr="007818B1">
        <w:rPr>
          <w:rFonts w:ascii="Arial" w:hAnsi="Arial" w:cs="Arial"/>
          <w:color w:val="4472C4" w:themeColor="accent1"/>
          <w:sz w:val="24"/>
          <w:szCs w:val="24"/>
        </w:rPr>
        <w:t xml:space="preserve"> não é ético de todo criar um clone de um determinado individuo (ser humano) com a finalidade de salvar a vida dessa pessoa, porque para que isso aconteça, a vida do clone irá se perder. Mas é um clone, uma “fotocópia” de outra pessoa! Ok, mas a partir do momento em que esse clone esteja formado e </w:t>
      </w:r>
      <w:r w:rsidRPr="007818B1">
        <w:rPr>
          <w:rFonts w:ascii="Arial" w:hAnsi="Arial" w:cs="Arial"/>
          <w:color w:val="4472C4" w:themeColor="accent1"/>
          <w:sz w:val="24"/>
          <w:szCs w:val="24"/>
        </w:rPr>
        <w:lastRenderedPageBreak/>
        <w:t>efetivamente nasce, passa a ser uma pessoa, um ser vivo (humano), independentemente de ser clone ou não.</w:t>
      </w:r>
    </w:p>
    <w:p w14:paraId="1BDED1ED"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color w:val="4472C4" w:themeColor="accent1"/>
          <w:sz w:val="24"/>
          <w:szCs w:val="24"/>
        </w:rPr>
        <w:t>É um humano que vai ter sentimentos, sonhos, esperanças, medos, desejos, ou seja, este ser vai sentir tudo aquilo que nós sentimos.</w:t>
      </w:r>
    </w:p>
    <w:p w14:paraId="4E283069"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color w:val="4472C4" w:themeColor="accent1"/>
          <w:sz w:val="24"/>
          <w:szCs w:val="24"/>
        </w:rPr>
        <w:t>Alem disso frente a esta possibilidade, surgem outras questões éticas:</w:t>
      </w:r>
    </w:p>
    <w:p w14:paraId="76D618A3"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b/>
          <w:color w:val="4472C4" w:themeColor="accent1"/>
          <w:sz w:val="24"/>
          <w:szCs w:val="24"/>
        </w:rPr>
        <w:t>Por que clonar?</w:t>
      </w:r>
      <w:r w:rsidRPr="007818B1">
        <w:rPr>
          <w:rFonts w:ascii="Arial" w:hAnsi="Arial" w:cs="Arial"/>
          <w:color w:val="4472C4" w:themeColor="accent1"/>
          <w:sz w:val="24"/>
          <w:szCs w:val="24"/>
        </w:rPr>
        <w:t xml:space="preserve"> Para salvar 1 vida? Se assim for, ao mesmo tempo que criamos uma vida, estamos destruindo outra.</w:t>
      </w:r>
    </w:p>
    <w:p w14:paraId="0E7C2605"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b/>
          <w:color w:val="4472C4" w:themeColor="accent1"/>
          <w:sz w:val="24"/>
          <w:szCs w:val="24"/>
        </w:rPr>
        <w:t>Quem deveria ser clonado?</w:t>
      </w:r>
      <w:r w:rsidRPr="007818B1">
        <w:rPr>
          <w:rFonts w:ascii="Arial" w:hAnsi="Arial" w:cs="Arial"/>
          <w:color w:val="4472C4" w:themeColor="accent1"/>
          <w:sz w:val="24"/>
          <w:szCs w:val="24"/>
        </w:rPr>
        <w:t xml:space="preserve"> Qualquer pessoa esta apta para ser clonada? Ou a escolha será mais criteriosa?</w:t>
      </w:r>
    </w:p>
    <w:p w14:paraId="4BCB4A95"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b/>
          <w:color w:val="4472C4" w:themeColor="accent1"/>
          <w:sz w:val="24"/>
          <w:szCs w:val="24"/>
        </w:rPr>
        <w:t>Ao clonar, que características devem ser escolhidas para o clone?</w:t>
      </w:r>
      <w:r w:rsidRPr="007818B1">
        <w:rPr>
          <w:rFonts w:ascii="Arial" w:hAnsi="Arial" w:cs="Arial"/>
          <w:color w:val="4472C4" w:themeColor="accent1"/>
          <w:sz w:val="24"/>
          <w:szCs w:val="24"/>
        </w:rPr>
        <w:t xml:space="preserve"> Teremos a possibilidade de escolher determinadas características para o clone?</w:t>
      </w:r>
    </w:p>
    <w:p w14:paraId="50F91BE1"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b/>
          <w:color w:val="4472C4" w:themeColor="accent1"/>
          <w:sz w:val="24"/>
          <w:szCs w:val="24"/>
        </w:rPr>
        <w:t>O que vai ser feito dos clones que nascerem defeituosos?</w:t>
      </w:r>
      <w:r w:rsidRPr="007818B1">
        <w:rPr>
          <w:rFonts w:ascii="Arial" w:hAnsi="Arial" w:cs="Arial"/>
          <w:color w:val="4472C4" w:themeColor="accent1"/>
          <w:sz w:val="24"/>
          <w:szCs w:val="24"/>
        </w:rPr>
        <w:t xml:space="preserve"> Caso o clone tenha defeitos aparentes ou não esteja se acordo com o que pretendemos, o que será feito? Deitamos no lixo como um objeto que já não nos serve?</w:t>
      </w:r>
    </w:p>
    <w:p w14:paraId="7FAF7A33" w14:textId="77777777" w:rsidR="00A97E70" w:rsidRPr="007818B1" w:rsidRDefault="00A97E70" w:rsidP="00A97E70">
      <w:pPr>
        <w:jc w:val="both"/>
        <w:rPr>
          <w:rFonts w:ascii="Arial" w:hAnsi="Arial" w:cs="Arial"/>
          <w:b/>
          <w:color w:val="4472C4" w:themeColor="accent1"/>
          <w:sz w:val="24"/>
          <w:szCs w:val="24"/>
        </w:rPr>
      </w:pPr>
      <w:r w:rsidRPr="007818B1">
        <w:rPr>
          <w:rFonts w:ascii="Arial" w:hAnsi="Arial" w:cs="Arial"/>
          <w:b/>
          <w:color w:val="4472C4" w:themeColor="accent1"/>
          <w:sz w:val="24"/>
          <w:szCs w:val="24"/>
        </w:rPr>
        <w:t>Caso alguém queira clonar algum ente que venha a falecer, e esse clone mais tarde venha a apresentar problemas? Quem se vai responsabilizar?</w:t>
      </w:r>
    </w:p>
    <w:p w14:paraId="09EFF336" w14:textId="77777777" w:rsidR="00A97E70" w:rsidRPr="007818B1" w:rsidRDefault="00A97E70" w:rsidP="00A97E70">
      <w:pPr>
        <w:jc w:val="both"/>
        <w:rPr>
          <w:rFonts w:ascii="Arial" w:hAnsi="Arial" w:cs="Arial"/>
          <w:color w:val="4472C4" w:themeColor="accent1"/>
          <w:sz w:val="24"/>
          <w:szCs w:val="24"/>
        </w:rPr>
      </w:pPr>
      <w:r w:rsidRPr="007818B1">
        <w:rPr>
          <w:rFonts w:ascii="Arial" w:hAnsi="Arial" w:cs="Arial"/>
          <w:color w:val="4472C4" w:themeColor="accent1"/>
          <w:sz w:val="24"/>
          <w:szCs w:val="24"/>
        </w:rPr>
        <w:t>A clonagem pode salvar vidas? Sim é uma possível realidade, mas há que estar consciente da responsabilidade que isso acarreta.</w:t>
      </w:r>
    </w:p>
    <w:p w14:paraId="55521BAF" w14:textId="77777777" w:rsidR="00A97E70" w:rsidRPr="007818B1" w:rsidRDefault="00A97E70" w:rsidP="00A97E70">
      <w:pPr>
        <w:rPr>
          <w:rFonts w:ascii="Arial" w:hAnsi="Arial" w:cs="Arial"/>
          <w:color w:val="4472C4" w:themeColor="accent1"/>
        </w:rPr>
      </w:pPr>
    </w:p>
    <w:p w14:paraId="49FCE3D6" w14:textId="77777777" w:rsidR="00A97E70" w:rsidRPr="007818B1" w:rsidRDefault="00A97E70" w:rsidP="00A97E70">
      <w:pPr>
        <w:jc w:val="center"/>
        <w:rPr>
          <w:rFonts w:ascii="Arial" w:hAnsi="Arial" w:cs="Arial"/>
          <w:b/>
          <w:color w:val="4472C4" w:themeColor="accent1"/>
          <w:sz w:val="40"/>
          <w:szCs w:val="40"/>
        </w:rPr>
      </w:pPr>
      <w:r w:rsidRPr="007818B1">
        <w:rPr>
          <w:rFonts w:ascii="Arial" w:hAnsi="Arial" w:cs="Arial"/>
          <w:b/>
          <w:color w:val="4472C4" w:themeColor="accent1"/>
          <w:sz w:val="40"/>
          <w:szCs w:val="40"/>
        </w:rPr>
        <w:t>Resumo sobre o filme “A Ilha”</w:t>
      </w:r>
    </w:p>
    <w:p w14:paraId="05BD6BBA" w14:textId="77777777" w:rsidR="00A97E70" w:rsidRPr="007818B1" w:rsidRDefault="00A97E70" w:rsidP="00A97E70">
      <w:pPr>
        <w:rPr>
          <w:bCs/>
          <w:color w:val="4472C4" w:themeColor="accent1"/>
        </w:rPr>
      </w:pPr>
    </w:p>
    <w:p w14:paraId="4EDA7006" w14:textId="77777777" w:rsidR="00A97E70" w:rsidRPr="007818B1" w:rsidRDefault="00A97E70" w:rsidP="00A97E70">
      <w:pPr>
        <w:jc w:val="both"/>
        <w:rPr>
          <w:rFonts w:ascii="Arial" w:hAnsi="Arial" w:cs="Arial"/>
          <w:bCs/>
          <w:color w:val="4472C4" w:themeColor="accent1"/>
          <w:sz w:val="24"/>
          <w:szCs w:val="24"/>
        </w:rPr>
      </w:pPr>
      <w:r w:rsidRPr="007818B1">
        <w:rPr>
          <w:rFonts w:ascii="Arial" w:hAnsi="Arial" w:cs="Arial"/>
          <w:bCs/>
          <w:color w:val="4472C4" w:themeColor="accent1"/>
          <w:sz w:val="24"/>
          <w:szCs w:val="24"/>
        </w:rPr>
        <w:t>O filme retrata a atividade de um instituto que tem como objetivo vender apólices de vida as pessoas com suporte financeiro para tal. Essas apólices de vida são nada mais nada menos que clones dos clientes.</w:t>
      </w:r>
    </w:p>
    <w:p w14:paraId="2D086B86" w14:textId="77777777" w:rsidR="00A97E70" w:rsidRPr="007818B1" w:rsidRDefault="00A97E70" w:rsidP="00A97E70">
      <w:pPr>
        <w:jc w:val="both"/>
        <w:rPr>
          <w:rFonts w:ascii="Arial" w:hAnsi="Arial" w:cs="Arial"/>
          <w:bCs/>
          <w:color w:val="4472C4" w:themeColor="accent1"/>
          <w:sz w:val="24"/>
          <w:szCs w:val="24"/>
        </w:rPr>
      </w:pPr>
      <w:r w:rsidRPr="007818B1">
        <w:rPr>
          <w:rFonts w:ascii="Arial" w:hAnsi="Arial" w:cs="Arial"/>
          <w:bCs/>
          <w:color w:val="4472C4" w:themeColor="accent1"/>
          <w:sz w:val="24"/>
          <w:szCs w:val="24"/>
        </w:rPr>
        <w:t>Quando o cliente compra uma apólice neste instituto é informado que o seu clone fica num estado vegetativo, no qual não tem sentimentos, mas na verdade os clones são mantidos num espaço fechado e controlado de forma a não desenvolverem consciência do motivo que estão ali nem de onde vieram.</w:t>
      </w:r>
    </w:p>
    <w:p w14:paraId="3711C940" w14:textId="77777777" w:rsidR="00A97E70" w:rsidRPr="007818B1" w:rsidRDefault="00A97E70" w:rsidP="00A97E70">
      <w:pPr>
        <w:jc w:val="both"/>
        <w:rPr>
          <w:rFonts w:ascii="Arial" w:hAnsi="Arial" w:cs="Arial"/>
          <w:bCs/>
          <w:color w:val="4472C4" w:themeColor="accent1"/>
          <w:sz w:val="24"/>
          <w:szCs w:val="24"/>
        </w:rPr>
      </w:pPr>
      <w:r w:rsidRPr="007818B1">
        <w:rPr>
          <w:rFonts w:ascii="Arial" w:hAnsi="Arial" w:cs="Arial"/>
          <w:bCs/>
          <w:color w:val="4472C4" w:themeColor="accent1"/>
          <w:sz w:val="24"/>
          <w:szCs w:val="24"/>
        </w:rPr>
        <w:t>Contudo existem 2 clones que desenvolveram mais sentimentos e memórias do que deveriam, e despertaram a tao controlada curiosidade humana.</w:t>
      </w:r>
    </w:p>
    <w:p w14:paraId="4062605C" w14:textId="77777777" w:rsidR="00A97E70" w:rsidRPr="007818B1" w:rsidRDefault="00A97E70" w:rsidP="00A97E70">
      <w:pPr>
        <w:jc w:val="both"/>
        <w:rPr>
          <w:rFonts w:ascii="Arial" w:hAnsi="Arial" w:cs="Arial"/>
          <w:bCs/>
          <w:color w:val="4472C4" w:themeColor="accent1"/>
          <w:sz w:val="24"/>
          <w:szCs w:val="24"/>
        </w:rPr>
      </w:pPr>
      <w:r w:rsidRPr="007818B1">
        <w:rPr>
          <w:rFonts w:ascii="Arial" w:hAnsi="Arial" w:cs="Arial"/>
          <w:bCs/>
          <w:color w:val="4472C4" w:themeColor="accent1"/>
          <w:sz w:val="24"/>
          <w:szCs w:val="24"/>
        </w:rPr>
        <w:t>Ao investigar o instituto acabam por descobrir o lado obscuro desse instituto e levam a cabo com sucesso um plano para escapar.</w:t>
      </w:r>
    </w:p>
    <w:p w14:paraId="0A37501D" w14:textId="19178789" w:rsidR="00820409" w:rsidRPr="007818B1" w:rsidRDefault="00A97E70" w:rsidP="00A97E70">
      <w:pPr>
        <w:rPr>
          <w:rFonts w:ascii="Calibri" w:eastAsia="Calibri" w:hAnsi="Calibri" w:cs="Calibri"/>
          <w:color w:val="4472C4" w:themeColor="accent1"/>
          <w:sz w:val="16"/>
          <w:szCs w:val="16"/>
        </w:rPr>
      </w:pPr>
      <w:r w:rsidRPr="007818B1">
        <w:rPr>
          <w:rFonts w:ascii="Arial" w:hAnsi="Arial" w:cs="Arial"/>
          <w:bCs/>
          <w:color w:val="4472C4" w:themeColor="accent1"/>
          <w:sz w:val="24"/>
          <w:szCs w:val="24"/>
        </w:rPr>
        <w:t>Algum tempo mais tarde acabam por voltar ao instituto de forma a salvar os restantes que lá ficaram e de forma a destruir este negócio ilícito.</w:t>
      </w:r>
    </w:p>
    <w:p w14:paraId="5DAB6C7B" w14:textId="77777777" w:rsidR="00D25F91" w:rsidRDefault="00D25F91" w:rsidP="00820409">
      <w:pPr>
        <w:rPr>
          <w:rFonts w:ascii="Calibri" w:eastAsia="Calibri" w:hAnsi="Calibri" w:cs="Calibri"/>
          <w:sz w:val="16"/>
          <w:szCs w:val="16"/>
        </w:rPr>
      </w:pPr>
    </w:p>
    <w:p w14:paraId="02EB378F" w14:textId="77777777" w:rsidR="00D25F91" w:rsidRDefault="00D25F91" w:rsidP="00820409">
      <w:pPr>
        <w:rPr>
          <w:rFonts w:ascii="Calibri" w:eastAsia="Calibri" w:hAnsi="Calibri" w:cs="Calibri"/>
          <w:sz w:val="16"/>
          <w:szCs w:val="16"/>
        </w:rPr>
      </w:pPr>
    </w:p>
    <w:p w14:paraId="6A05A809" w14:textId="77777777" w:rsidR="00D25F91" w:rsidRDefault="00D25F91" w:rsidP="00820409">
      <w:pPr>
        <w:rPr>
          <w:rFonts w:ascii="Calibri" w:eastAsia="Calibri" w:hAnsi="Calibri" w:cs="Calibri"/>
          <w:sz w:val="16"/>
          <w:szCs w:val="16"/>
        </w:rPr>
      </w:pPr>
    </w:p>
    <w:tbl>
      <w:tblPr>
        <w:tblpPr w:leftFromText="141" w:rightFromText="141" w:vertAnchor="text" w:horzAnchor="margin" w:tblpY="-891"/>
        <w:tblW w:w="9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16"/>
        <w:gridCol w:w="1017"/>
        <w:gridCol w:w="1015"/>
        <w:gridCol w:w="1015"/>
        <w:gridCol w:w="1015"/>
        <w:gridCol w:w="1017"/>
        <w:gridCol w:w="1017"/>
        <w:gridCol w:w="1018"/>
      </w:tblGrid>
      <w:tr w:rsidR="00A97E70" w14:paraId="58109F3E" w14:textId="77777777" w:rsidTr="00A97E70">
        <w:tc>
          <w:tcPr>
            <w:tcW w:w="9146" w:type="dxa"/>
            <w:gridSpan w:val="9"/>
            <w:shd w:val="clear" w:color="auto" w:fill="D9D9D9" w:themeFill="background1" w:themeFillShade="D9"/>
          </w:tcPr>
          <w:p w14:paraId="7C5B5D20" w14:textId="77777777" w:rsidR="00A97E70" w:rsidRDefault="00A97E70" w:rsidP="00A97E70">
            <w:pPr>
              <w:jc w:val="center"/>
              <w:rPr>
                <w:rFonts w:ascii="Calibri" w:eastAsia="Calibri" w:hAnsi="Calibri" w:cs="Calibri"/>
                <w:b/>
                <w:i/>
                <w:shd w:val="clear" w:color="auto" w:fill="BFBFBF"/>
              </w:rPr>
            </w:pPr>
            <w:r>
              <w:rPr>
                <w:rFonts w:ascii="Calibri" w:eastAsia="Calibri" w:hAnsi="Calibri" w:cs="Calibri"/>
                <w:b/>
                <w:i/>
              </w:rPr>
              <w:lastRenderedPageBreak/>
              <w:t>Validação de Competência: STC</w:t>
            </w:r>
            <w:proofErr w:type="gramStart"/>
            <w:r>
              <w:rPr>
                <w:rFonts w:ascii="Calibri" w:eastAsia="Calibri" w:hAnsi="Calibri" w:cs="Calibri"/>
                <w:b/>
                <w:i/>
              </w:rPr>
              <w:t>_  7</w:t>
            </w:r>
            <w:proofErr w:type="gramEnd"/>
            <w:r>
              <w:rPr>
                <w:rFonts w:ascii="Calibri" w:eastAsia="Calibri" w:hAnsi="Calibri" w:cs="Calibri"/>
                <w:b/>
                <w:i/>
              </w:rPr>
              <w:t xml:space="preserve"> – </w:t>
            </w:r>
            <w:r>
              <w:t>Sociedade, tecnologia e ciência - fundamentos</w:t>
            </w:r>
          </w:p>
        </w:tc>
      </w:tr>
      <w:tr w:rsidR="00A97E70" w14:paraId="472729DF" w14:textId="77777777" w:rsidTr="00A97E70">
        <w:tc>
          <w:tcPr>
            <w:tcW w:w="9146" w:type="dxa"/>
            <w:gridSpan w:val="9"/>
          </w:tcPr>
          <w:p w14:paraId="10B9E8DD" w14:textId="77777777" w:rsidR="00A97E70" w:rsidRDefault="00A97E70" w:rsidP="00A97E70">
            <w:pPr>
              <w:ind w:left="1985" w:hanging="1985"/>
              <w:jc w:val="both"/>
              <w:rPr>
                <w:rFonts w:ascii="Arial" w:eastAsia="Arial" w:hAnsi="Arial" w:cs="Arial"/>
                <w:color w:val="000000"/>
                <w:sz w:val="18"/>
                <w:szCs w:val="18"/>
              </w:rPr>
            </w:pPr>
            <w:r>
              <w:rPr>
                <w:rFonts w:ascii="Calibri" w:eastAsia="Calibri" w:hAnsi="Calibri" w:cs="Calibri"/>
                <w:b/>
                <w:i/>
                <w:sz w:val="18"/>
                <w:szCs w:val="18"/>
              </w:rPr>
              <w:t>OBJ_ 1 _</w:t>
            </w:r>
            <w:r>
              <w:rPr>
                <w:rFonts w:ascii="Calibri" w:eastAsia="Calibri" w:hAnsi="Calibri" w:cs="Calibri"/>
                <w:i/>
                <w:color w:val="000000"/>
                <w:sz w:val="18"/>
                <w:szCs w:val="18"/>
              </w:rPr>
              <w:t xml:space="preserve"> Reconhece os elementos fundamentais ou unidades estruturais e organizativas que baseiam a análise e o raciocínio científico</w:t>
            </w:r>
          </w:p>
        </w:tc>
      </w:tr>
      <w:tr w:rsidR="00A97E70" w14:paraId="6592AC3B" w14:textId="77777777" w:rsidTr="00A97E70">
        <w:tc>
          <w:tcPr>
            <w:tcW w:w="3049" w:type="dxa"/>
            <w:gridSpan w:val="3"/>
          </w:tcPr>
          <w:p w14:paraId="447E23B5" w14:textId="77777777" w:rsidR="00A97E70" w:rsidRDefault="00A97E70" w:rsidP="00A97E70">
            <w:pPr>
              <w:jc w:val="center"/>
              <w:rPr>
                <w:rFonts w:ascii="Calibri" w:eastAsia="Calibri" w:hAnsi="Calibri" w:cs="Calibri"/>
                <w:i/>
              </w:rPr>
            </w:pPr>
            <w:r>
              <w:rPr>
                <w:rFonts w:ascii="Calibri" w:eastAsia="Calibri" w:hAnsi="Calibri" w:cs="Calibri"/>
                <w:b/>
                <w:i/>
              </w:rPr>
              <w:t>Sociedade</w:t>
            </w:r>
          </w:p>
        </w:tc>
        <w:tc>
          <w:tcPr>
            <w:tcW w:w="3045" w:type="dxa"/>
            <w:gridSpan w:val="3"/>
          </w:tcPr>
          <w:p w14:paraId="362CAC79" w14:textId="77777777" w:rsidR="00A97E70" w:rsidRDefault="00A97E70" w:rsidP="00A97E70">
            <w:pPr>
              <w:jc w:val="center"/>
              <w:rPr>
                <w:rFonts w:ascii="Calibri" w:eastAsia="Calibri" w:hAnsi="Calibri" w:cs="Calibri"/>
                <w:i/>
              </w:rPr>
            </w:pPr>
            <w:r>
              <w:rPr>
                <w:rFonts w:ascii="Calibri" w:eastAsia="Calibri" w:hAnsi="Calibri" w:cs="Calibri"/>
                <w:b/>
                <w:i/>
              </w:rPr>
              <w:t>Tecnologia</w:t>
            </w:r>
          </w:p>
        </w:tc>
        <w:tc>
          <w:tcPr>
            <w:tcW w:w="3052" w:type="dxa"/>
            <w:gridSpan w:val="3"/>
          </w:tcPr>
          <w:p w14:paraId="6AE17000" w14:textId="77777777" w:rsidR="00A97E70" w:rsidRDefault="00A97E70" w:rsidP="00A97E70">
            <w:pPr>
              <w:jc w:val="center"/>
              <w:rPr>
                <w:rFonts w:ascii="Calibri" w:eastAsia="Calibri" w:hAnsi="Calibri" w:cs="Calibri"/>
                <w:b/>
                <w:i/>
              </w:rPr>
            </w:pPr>
            <w:r>
              <w:rPr>
                <w:rFonts w:ascii="Calibri" w:eastAsia="Calibri" w:hAnsi="Calibri" w:cs="Calibri"/>
                <w:b/>
                <w:i/>
              </w:rPr>
              <w:t>Ciência</w:t>
            </w:r>
          </w:p>
        </w:tc>
      </w:tr>
      <w:tr w:rsidR="00A97E70" w14:paraId="380517CA" w14:textId="77777777" w:rsidTr="00A97E70">
        <w:tc>
          <w:tcPr>
            <w:tcW w:w="1016" w:type="dxa"/>
          </w:tcPr>
          <w:p w14:paraId="46E63391" w14:textId="77777777" w:rsidR="00A97E70" w:rsidRDefault="00A97E70" w:rsidP="00A97E70">
            <w:pPr>
              <w:jc w:val="center"/>
              <w:rPr>
                <w:rFonts w:ascii="Calibri" w:eastAsia="Calibri" w:hAnsi="Calibri" w:cs="Calibri"/>
                <w:i/>
              </w:rPr>
            </w:pPr>
            <w:r>
              <w:rPr>
                <w:rFonts w:ascii="Calibri" w:eastAsia="Calibri" w:hAnsi="Calibri" w:cs="Calibri"/>
                <w:i/>
              </w:rPr>
              <w:t>I</w:t>
            </w:r>
          </w:p>
        </w:tc>
        <w:tc>
          <w:tcPr>
            <w:tcW w:w="1016" w:type="dxa"/>
          </w:tcPr>
          <w:p w14:paraId="08551D3E" w14:textId="77777777" w:rsidR="00A97E70" w:rsidRDefault="00A97E70" w:rsidP="00A97E70">
            <w:pPr>
              <w:jc w:val="center"/>
              <w:rPr>
                <w:rFonts w:ascii="Calibri" w:eastAsia="Calibri" w:hAnsi="Calibri" w:cs="Calibri"/>
                <w:i/>
              </w:rPr>
            </w:pPr>
            <w:r>
              <w:rPr>
                <w:rFonts w:ascii="Calibri" w:eastAsia="Calibri" w:hAnsi="Calibri" w:cs="Calibri"/>
                <w:i/>
              </w:rPr>
              <w:t>II</w:t>
            </w:r>
          </w:p>
        </w:tc>
        <w:tc>
          <w:tcPr>
            <w:tcW w:w="1017" w:type="dxa"/>
          </w:tcPr>
          <w:p w14:paraId="444F85A7" w14:textId="77777777" w:rsidR="00A97E70" w:rsidRDefault="00A97E70" w:rsidP="00A97E70">
            <w:pPr>
              <w:jc w:val="center"/>
              <w:rPr>
                <w:rFonts w:ascii="Calibri" w:eastAsia="Calibri" w:hAnsi="Calibri" w:cs="Calibri"/>
                <w:i/>
              </w:rPr>
            </w:pPr>
            <w:r>
              <w:rPr>
                <w:rFonts w:ascii="Calibri" w:eastAsia="Calibri" w:hAnsi="Calibri" w:cs="Calibri"/>
                <w:i/>
              </w:rPr>
              <w:t>III</w:t>
            </w:r>
          </w:p>
        </w:tc>
        <w:tc>
          <w:tcPr>
            <w:tcW w:w="1015" w:type="dxa"/>
          </w:tcPr>
          <w:p w14:paraId="39C71F00" w14:textId="77777777" w:rsidR="00A97E70" w:rsidRDefault="00A97E70" w:rsidP="00A97E70">
            <w:pPr>
              <w:jc w:val="center"/>
              <w:rPr>
                <w:rFonts w:ascii="Calibri" w:eastAsia="Calibri" w:hAnsi="Calibri" w:cs="Calibri"/>
                <w:i/>
              </w:rPr>
            </w:pPr>
            <w:r>
              <w:rPr>
                <w:rFonts w:ascii="Calibri" w:eastAsia="Calibri" w:hAnsi="Calibri" w:cs="Calibri"/>
                <w:i/>
              </w:rPr>
              <w:t>I</w:t>
            </w:r>
          </w:p>
        </w:tc>
        <w:tc>
          <w:tcPr>
            <w:tcW w:w="1015" w:type="dxa"/>
          </w:tcPr>
          <w:p w14:paraId="26FD19D8" w14:textId="77777777" w:rsidR="00A97E70" w:rsidRDefault="00A97E70" w:rsidP="00A97E70">
            <w:pPr>
              <w:jc w:val="center"/>
              <w:rPr>
                <w:rFonts w:ascii="Calibri" w:eastAsia="Calibri" w:hAnsi="Calibri" w:cs="Calibri"/>
                <w:i/>
              </w:rPr>
            </w:pPr>
            <w:r>
              <w:rPr>
                <w:rFonts w:ascii="Calibri" w:eastAsia="Calibri" w:hAnsi="Calibri" w:cs="Calibri"/>
                <w:i/>
              </w:rPr>
              <w:t>II</w:t>
            </w:r>
          </w:p>
        </w:tc>
        <w:tc>
          <w:tcPr>
            <w:tcW w:w="1015" w:type="dxa"/>
          </w:tcPr>
          <w:p w14:paraId="56D53AF3" w14:textId="77777777" w:rsidR="00A97E70" w:rsidRDefault="00A97E70" w:rsidP="00A97E70">
            <w:pPr>
              <w:jc w:val="center"/>
              <w:rPr>
                <w:rFonts w:ascii="Calibri" w:eastAsia="Calibri" w:hAnsi="Calibri" w:cs="Calibri"/>
                <w:i/>
              </w:rPr>
            </w:pPr>
            <w:r>
              <w:rPr>
                <w:rFonts w:ascii="Calibri" w:eastAsia="Calibri" w:hAnsi="Calibri" w:cs="Calibri"/>
                <w:i/>
              </w:rPr>
              <w:t>III</w:t>
            </w:r>
          </w:p>
        </w:tc>
        <w:tc>
          <w:tcPr>
            <w:tcW w:w="1017" w:type="dxa"/>
          </w:tcPr>
          <w:p w14:paraId="4D43610E" w14:textId="77777777" w:rsidR="00A97E70" w:rsidRDefault="00A97E70" w:rsidP="00A97E70">
            <w:pPr>
              <w:jc w:val="center"/>
              <w:rPr>
                <w:rFonts w:ascii="Calibri" w:eastAsia="Calibri" w:hAnsi="Calibri" w:cs="Calibri"/>
                <w:i/>
              </w:rPr>
            </w:pPr>
            <w:r>
              <w:rPr>
                <w:rFonts w:ascii="Calibri" w:eastAsia="Calibri" w:hAnsi="Calibri" w:cs="Calibri"/>
                <w:i/>
              </w:rPr>
              <w:t>I</w:t>
            </w:r>
          </w:p>
        </w:tc>
        <w:tc>
          <w:tcPr>
            <w:tcW w:w="1017" w:type="dxa"/>
          </w:tcPr>
          <w:p w14:paraId="2CEF3BB1" w14:textId="77777777" w:rsidR="00A97E70" w:rsidRDefault="00A97E70" w:rsidP="00A97E70">
            <w:pPr>
              <w:jc w:val="center"/>
              <w:rPr>
                <w:rFonts w:ascii="Calibri" w:eastAsia="Calibri" w:hAnsi="Calibri" w:cs="Calibri"/>
                <w:i/>
              </w:rPr>
            </w:pPr>
            <w:r>
              <w:rPr>
                <w:rFonts w:ascii="Calibri" w:eastAsia="Calibri" w:hAnsi="Calibri" w:cs="Calibri"/>
                <w:i/>
              </w:rPr>
              <w:t>II</w:t>
            </w:r>
          </w:p>
        </w:tc>
        <w:tc>
          <w:tcPr>
            <w:tcW w:w="1018" w:type="dxa"/>
          </w:tcPr>
          <w:p w14:paraId="70D1B476" w14:textId="77777777" w:rsidR="00A97E70" w:rsidRDefault="00A97E70" w:rsidP="00A97E70">
            <w:pPr>
              <w:jc w:val="center"/>
              <w:rPr>
                <w:rFonts w:ascii="Calibri" w:eastAsia="Calibri" w:hAnsi="Calibri" w:cs="Calibri"/>
                <w:i/>
              </w:rPr>
            </w:pPr>
            <w:r>
              <w:rPr>
                <w:rFonts w:ascii="Calibri" w:eastAsia="Calibri" w:hAnsi="Calibri" w:cs="Calibri"/>
                <w:i/>
              </w:rPr>
              <w:t>III</w:t>
            </w:r>
          </w:p>
        </w:tc>
      </w:tr>
      <w:tr w:rsidR="00A97E70" w14:paraId="45DCB38F" w14:textId="77777777" w:rsidTr="00A97E70">
        <w:tc>
          <w:tcPr>
            <w:tcW w:w="1016" w:type="dxa"/>
          </w:tcPr>
          <w:p w14:paraId="366E8337" w14:textId="77777777" w:rsidR="00A97E70" w:rsidRDefault="00A97E70" w:rsidP="00A97E70">
            <w:pPr>
              <w:jc w:val="center"/>
              <w:rPr>
                <w:rFonts w:ascii="Calibri" w:eastAsia="Calibri" w:hAnsi="Calibri" w:cs="Calibri"/>
                <w:i/>
              </w:rPr>
            </w:pPr>
            <w:r>
              <w:rPr>
                <w:rFonts w:ascii="Calibri" w:eastAsia="Calibri" w:hAnsi="Calibri" w:cs="Calibri"/>
                <w:i/>
              </w:rPr>
              <w:t>E / NE</w:t>
            </w:r>
          </w:p>
        </w:tc>
        <w:tc>
          <w:tcPr>
            <w:tcW w:w="1016" w:type="dxa"/>
          </w:tcPr>
          <w:p w14:paraId="48AC9EDC" w14:textId="77777777" w:rsidR="00A97E70" w:rsidRDefault="00A97E70" w:rsidP="00A97E70">
            <w:r>
              <w:rPr>
                <w:rFonts w:ascii="Calibri" w:eastAsia="Calibri" w:hAnsi="Calibri" w:cs="Calibri"/>
                <w:i/>
              </w:rPr>
              <w:t>E / NE</w:t>
            </w:r>
          </w:p>
        </w:tc>
        <w:tc>
          <w:tcPr>
            <w:tcW w:w="1017" w:type="dxa"/>
          </w:tcPr>
          <w:p w14:paraId="21573B82" w14:textId="77777777" w:rsidR="00A97E70" w:rsidRDefault="00A97E70" w:rsidP="00A97E70">
            <w:r>
              <w:rPr>
                <w:rFonts w:ascii="Calibri" w:eastAsia="Calibri" w:hAnsi="Calibri" w:cs="Calibri"/>
                <w:i/>
              </w:rPr>
              <w:t>E / NE</w:t>
            </w:r>
          </w:p>
        </w:tc>
        <w:tc>
          <w:tcPr>
            <w:tcW w:w="1015" w:type="dxa"/>
          </w:tcPr>
          <w:p w14:paraId="2A92BF0C" w14:textId="77777777" w:rsidR="00A97E70" w:rsidRDefault="00A97E70" w:rsidP="00A97E70">
            <w:r>
              <w:rPr>
                <w:rFonts w:ascii="Calibri" w:eastAsia="Calibri" w:hAnsi="Calibri" w:cs="Calibri"/>
                <w:i/>
              </w:rPr>
              <w:t>E / NE</w:t>
            </w:r>
          </w:p>
        </w:tc>
        <w:tc>
          <w:tcPr>
            <w:tcW w:w="1015" w:type="dxa"/>
          </w:tcPr>
          <w:p w14:paraId="5AB7FA83" w14:textId="77777777" w:rsidR="00A97E70" w:rsidRDefault="00A97E70" w:rsidP="00A97E70">
            <w:r>
              <w:rPr>
                <w:rFonts w:ascii="Calibri" w:eastAsia="Calibri" w:hAnsi="Calibri" w:cs="Calibri"/>
                <w:i/>
              </w:rPr>
              <w:t>E / NE</w:t>
            </w:r>
          </w:p>
        </w:tc>
        <w:tc>
          <w:tcPr>
            <w:tcW w:w="1015" w:type="dxa"/>
          </w:tcPr>
          <w:p w14:paraId="5F12548C" w14:textId="77777777" w:rsidR="00A97E70" w:rsidRDefault="00A97E70" w:rsidP="00A97E70">
            <w:r>
              <w:rPr>
                <w:rFonts w:ascii="Calibri" w:eastAsia="Calibri" w:hAnsi="Calibri" w:cs="Calibri"/>
                <w:i/>
              </w:rPr>
              <w:t>E / NE</w:t>
            </w:r>
          </w:p>
        </w:tc>
        <w:tc>
          <w:tcPr>
            <w:tcW w:w="1017" w:type="dxa"/>
          </w:tcPr>
          <w:p w14:paraId="5D425A58" w14:textId="77777777" w:rsidR="00A97E70" w:rsidRDefault="00A97E70" w:rsidP="00A97E70">
            <w:r>
              <w:rPr>
                <w:rFonts w:ascii="Calibri" w:eastAsia="Calibri" w:hAnsi="Calibri" w:cs="Calibri"/>
                <w:i/>
              </w:rPr>
              <w:t>E / NE</w:t>
            </w:r>
          </w:p>
        </w:tc>
        <w:tc>
          <w:tcPr>
            <w:tcW w:w="1017" w:type="dxa"/>
          </w:tcPr>
          <w:p w14:paraId="5590D9DA" w14:textId="77777777" w:rsidR="00A97E70" w:rsidRDefault="00A97E70" w:rsidP="00A97E70">
            <w:r>
              <w:rPr>
                <w:rFonts w:ascii="Calibri" w:eastAsia="Calibri" w:hAnsi="Calibri" w:cs="Calibri"/>
                <w:i/>
              </w:rPr>
              <w:t>E / NE</w:t>
            </w:r>
          </w:p>
        </w:tc>
        <w:tc>
          <w:tcPr>
            <w:tcW w:w="1018" w:type="dxa"/>
          </w:tcPr>
          <w:p w14:paraId="31027203" w14:textId="77777777" w:rsidR="00A97E70" w:rsidRDefault="00A97E70" w:rsidP="00A97E70">
            <w:pPr>
              <w:jc w:val="center"/>
              <w:rPr>
                <w:rFonts w:ascii="Calibri" w:eastAsia="Calibri" w:hAnsi="Calibri" w:cs="Calibri"/>
                <w:i/>
              </w:rPr>
            </w:pPr>
            <w:r>
              <w:rPr>
                <w:rFonts w:ascii="Calibri" w:eastAsia="Calibri" w:hAnsi="Calibri" w:cs="Calibri"/>
                <w:i/>
              </w:rPr>
              <w:t>E / NE</w:t>
            </w:r>
          </w:p>
        </w:tc>
      </w:tr>
      <w:tr w:rsidR="00A97E70" w14:paraId="7C26A51F" w14:textId="77777777" w:rsidTr="00A97E70">
        <w:trPr>
          <w:trHeight w:val="560"/>
        </w:trPr>
        <w:tc>
          <w:tcPr>
            <w:tcW w:w="9146" w:type="dxa"/>
            <w:gridSpan w:val="9"/>
          </w:tcPr>
          <w:p w14:paraId="3EE13FF4" w14:textId="77777777" w:rsidR="00A97E70" w:rsidRDefault="00A97E70" w:rsidP="00A97E70">
            <w:pPr>
              <w:spacing w:after="280"/>
              <w:rPr>
                <w:rFonts w:ascii="Calibri" w:eastAsia="Calibri" w:hAnsi="Calibri" w:cs="Calibri"/>
                <w:i/>
              </w:rPr>
            </w:pPr>
            <w:r>
              <w:rPr>
                <w:rFonts w:ascii="Calibri" w:eastAsia="Calibri" w:hAnsi="Calibri" w:cs="Calibri"/>
                <w:i/>
              </w:rPr>
              <w:t>A Formadora: Nélia Serrão</w:t>
            </w:r>
          </w:p>
          <w:p w14:paraId="625F46A9" w14:textId="77777777" w:rsidR="00A97E70" w:rsidRDefault="00A97E70" w:rsidP="00A97E70">
            <w:pPr>
              <w:jc w:val="right"/>
              <w:rPr>
                <w:rFonts w:ascii="Calibri" w:eastAsia="Calibri" w:hAnsi="Calibri" w:cs="Calibri"/>
                <w:i/>
                <w:iCs/>
              </w:rPr>
            </w:pPr>
            <w:r w:rsidRPr="046A9F6F">
              <w:rPr>
                <w:rFonts w:ascii="Calibri" w:eastAsia="Calibri" w:hAnsi="Calibri" w:cs="Calibri"/>
                <w:i/>
                <w:iCs/>
              </w:rPr>
              <w:t>Data:      /      /202</w:t>
            </w:r>
            <w:r>
              <w:rPr>
                <w:rFonts w:ascii="Calibri" w:eastAsia="Calibri" w:hAnsi="Calibri" w:cs="Calibri"/>
                <w:i/>
                <w:iCs/>
              </w:rPr>
              <w:t>1</w:t>
            </w:r>
          </w:p>
        </w:tc>
      </w:tr>
    </w:tbl>
    <w:p w14:paraId="5A39BBE3" w14:textId="77777777" w:rsidR="00D25F91" w:rsidRDefault="00D25F91" w:rsidP="00820409">
      <w:pPr>
        <w:rPr>
          <w:rFonts w:ascii="Calibri" w:eastAsia="Calibri" w:hAnsi="Calibri" w:cs="Calibri"/>
          <w:sz w:val="16"/>
          <w:szCs w:val="16"/>
        </w:rPr>
      </w:pPr>
    </w:p>
    <w:p w14:paraId="41C8F396" w14:textId="77777777" w:rsidR="00D25F91" w:rsidRDefault="00D25F91" w:rsidP="00820409">
      <w:pPr>
        <w:rPr>
          <w:rFonts w:ascii="Calibri" w:eastAsia="Calibri" w:hAnsi="Calibri" w:cs="Calibri"/>
          <w:sz w:val="16"/>
          <w:szCs w:val="16"/>
        </w:rPr>
      </w:pPr>
    </w:p>
    <w:p w14:paraId="72A3D3EC" w14:textId="77777777" w:rsidR="00D25F91" w:rsidRDefault="00D25F91" w:rsidP="00820409">
      <w:pPr>
        <w:rPr>
          <w:rFonts w:ascii="Calibri" w:eastAsia="Calibri" w:hAnsi="Calibri" w:cs="Calibri"/>
          <w:sz w:val="16"/>
          <w:szCs w:val="16"/>
        </w:rPr>
      </w:pPr>
    </w:p>
    <w:p w14:paraId="0D0B940D" w14:textId="77777777" w:rsidR="00D25F91" w:rsidRDefault="00D25F91" w:rsidP="00820409">
      <w:pPr>
        <w:rPr>
          <w:rFonts w:ascii="Calibri" w:eastAsia="Calibri" w:hAnsi="Calibri" w:cs="Calibri"/>
          <w:sz w:val="16"/>
          <w:szCs w:val="16"/>
        </w:rPr>
      </w:pPr>
    </w:p>
    <w:p w14:paraId="45FB0818" w14:textId="77777777" w:rsidR="00D25F91" w:rsidRDefault="00D25F91" w:rsidP="00820409">
      <w:pPr>
        <w:rPr>
          <w:rFonts w:ascii="Calibri" w:eastAsia="Calibri" w:hAnsi="Calibri" w:cs="Calibri"/>
          <w:sz w:val="16"/>
          <w:szCs w:val="16"/>
        </w:rPr>
      </w:pPr>
    </w:p>
    <w:p w14:paraId="049F31CB" w14:textId="77777777" w:rsidR="00820409" w:rsidRDefault="00820409" w:rsidP="00820409">
      <w:pPr>
        <w:rPr>
          <w:rFonts w:ascii="Calibri" w:eastAsia="Calibri" w:hAnsi="Calibri" w:cs="Calibri"/>
          <w:sz w:val="16"/>
          <w:szCs w:val="16"/>
        </w:rPr>
      </w:pPr>
    </w:p>
    <w:p w14:paraId="53128261" w14:textId="77777777" w:rsidR="00820409" w:rsidRDefault="00820409" w:rsidP="00820409">
      <w:pPr>
        <w:rPr>
          <w:rFonts w:ascii="Calibri" w:eastAsia="Calibri" w:hAnsi="Calibri" w:cs="Calibri"/>
          <w:sz w:val="16"/>
          <w:szCs w:val="16"/>
        </w:rPr>
      </w:pPr>
    </w:p>
    <w:p w14:paraId="62486C05" w14:textId="77777777" w:rsidR="00820409" w:rsidRDefault="00820409"/>
    <w:sectPr w:rsidR="0082040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1073" w14:textId="77777777" w:rsidR="007A2725" w:rsidRDefault="007A2725" w:rsidP="00B13D38">
      <w:pPr>
        <w:spacing w:after="0" w:line="240" w:lineRule="auto"/>
      </w:pPr>
      <w:r>
        <w:separator/>
      </w:r>
    </w:p>
  </w:endnote>
  <w:endnote w:type="continuationSeparator" w:id="0">
    <w:p w14:paraId="6FFD2949" w14:textId="77777777" w:rsidR="007A2725" w:rsidRDefault="007A2725" w:rsidP="00B1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D43A" w14:textId="77777777" w:rsidR="007A2725" w:rsidRDefault="007A2725" w:rsidP="00B13D38">
      <w:pPr>
        <w:spacing w:after="0" w:line="240" w:lineRule="auto"/>
      </w:pPr>
      <w:r>
        <w:separator/>
      </w:r>
    </w:p>
  </w:footnote>
  <w:footnote w:type="continuationSeparator" w:id="0">
    <w:p w14:paraId="3F8D9A01" w14:textId="77777777" w:rsidR="007A2725" w:rsidRDefault="007A2725" w:rsidP="00B13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B1E1F"/>
    <w:multiLevelType w:val="multilevel"/>
    <w:tmpl w:val="95D80682"/>
    <w:lvl w:ilvl="0">
      <w:start w:val="1"/>
      <w:numFmt w:val="decimal"/>
      <w:lvlText w:val="%1."/>
      <w:lvlJc w:val="left"/>
      <w:pPr>
        <w:ind w:left="375" w:hanging="375"/>
      </w:pPr>
      <w:rPr>
        <w:rFonts w:cs="Times New Roman" w:hint="default"/>
        <w:sz w:val="24"/>
      </w:rPr>
    </w:lvl>
    <w:lvl w:ilvl="1">
      <w:start w:val="1"/>
      <w:numFmt w:val="decimal"/>
      <w:lvlText w:val="%1.%2-"/>
      <w:lvlJc w:val="left"/>
      <w:pPr>
        <w:ind w:left="375" w:hanging="375"/>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720" w:hanging="72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080" w:hanging="1080"/>
      </w:pPr>
      <w:rPr>
        <w:rFonts w:cs="Times New Roman" w:hint="default"/>
        <w:sz w:val="24"/>
      </w:rPr>
    </w:lvl>
    <w:lvl w:ilvl="7">
      <w:start w:val="1"/>
      <w:numFmt w:val="decimal"/>
      <w:lvlText w:val="%1.%2-%3.%4.%5.%6.%7.%8."/>
      <w:lvlJc w:val="left"/>
      <w:pPr>
        <w:ind w:left="1080" w:hanging="108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15:restartNumberingAfterBreak="0">
    <w:nsid w:val="5A0B1BA6"/>
    <w:multiLevelType w:val="hybridMultilevel"/>
    <w:tmpl w:val="41B63A7A"/>
    <w:lvl w:ilvl="0" w:tplc="FD4615E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8A"/>
    <w:rsid w:val="0013078A"/>
    <w:rsid w:val="006131CF"/>
    <w:rsid w:val="00775894"/>
    <w:rsid w:val="007818B1"/>
    <w:rsid w:val="007A2725"/>
    <w:rsid w:val="00820409"/>
    <w:rsid w:val="00A97E70"/>
    <w:rsid w:val="00AB24C7"/>
    <w:rsid w:val="00B13D38"/>
    <w:rsid w:val="00B25229"/>
    <w:rsid w:val="00D25F91"/>
    <w:rsid w:val="00FD278A"/>
    <w:rsid w:val="046A9F6F"/>
    <w:rsid w:val="09079E07"/>
    <w:rsid w:val="11A76844"/>
    <w:rsid w:val="1BAC4CF2"/>
    <w:rsid w:val="5A46960B"/>
    <w:rsid w:val="5A6A1270"/>
    <w:rsid w:val="7F78DB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CFF1D"/>
  <w15:chartTrackingRefBased/>
  <w15:docId w15:val="{A0BCF62E-C40A-4F66-967C-6199CFEE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13D3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13D38"/>
  </w:style>
  <w:style w:type="paragraph" w:styleId="Rodap">
    <w:name w:val="footer"/>
    <w:basedOn w:val="Normal"/>
    <w:link w:val="RodapCarter"/>
    <w:uiPriority w:val="99"/>
    <w:unhideWhenUsed/>
    <w:rsid w:val="00B13D3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13D38"/>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302151043FAB46970F8D76D6D63E15" ma:contentTypeVersion="0" ma:contentTypeDescription="Criar um novo documento." ma:contentTypeScope="" ma:versionID="d25df0f9aa7d3154d3728c0d37cdb977">
  <xsd:schema xmlns:xsd="http://www.w3.org/2001/XMLSchema" xmlns:xs="http://www.w3.org/2001/XMLSchema" xmlns:p="http://schemas.microsoft.com/office/2006/metadata/properties" targetNamespace="http://schemas.microsoft.com/office/2006/metadata/properties" ma:root="true" ma:fieldsID="f73432627952253d50a2245b035c3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599E4D-8541-402A-A873-BE3E03672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A0BEC30-C2C5-483C-AEAF-3372195E23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12868D-E393-48C7-B5A1-50C2800AC1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691</Words>
  <Characters>3737</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nelia</dc:creator>
  <cp:keywords/>
  <dc:description/>
  <cp:lastModifiedBy>Daniel Magno Travessas Abreu</cp:lastModifiedBy>
  <cp:revision>9</cp:revision>
  <dcterms:created xsi:type="dcterms:W3CDTF">2020-12-17T17:32:00Z</dcterms:created>
  <dcterms:modified xsi:type="dcterms:W3CDTF">2022-02-17T12:53:00Z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0x0101009F302151043FAB46970F8D76D6D63E15</vt:lpwstr>
  </property>
</Properties>
</file>