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color w:val="1B3A5C"/>
          <w:sz w:val="36"/>
          <w:szCs w:val="36"/>
        </w:rPr>
        <w:t xml:space="preserve">Contract Terms and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SOP 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PEC-ADMIN-002</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Prescott Epoxy Company (PEC)</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Department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2026-04-13</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Dylan Nordby</w:t>
            </w:r>
          </w:p>
        </w:tc>
      </w:tr>
    </w:tbl>
    <w:p>
      <w:pPr>
        <w:spacing w:after="100" w:before="200"/>
      </w:pPr>
    </w:p>
    <w:p>
      <w:pPr>
        <w:pStyle w:val="Heading2"/>
        <w:spacing w:after="100" w:before="200"/>
      </w:pPr>
      <w:r>
        <w:rPr>
          <w:rFonts w:ascii="Arial" w:cs="Arial" w:eastAsia="Arial" w:hAnsi="Arial"/>
          <w:b/>
          <w:bCs/>
          <w:color w:val="1B3A5C"/>
          <w:sz w:val="28"/>
          <w:szCs w:val="28"/>
        </w:rPr>
        <w:t xml:space="preserve">Purpose</w:t>
      </w:r>
    </w:p>
    <w:p>
      <w:pPr>
        <w:spacing w:after="100"/>
      </w:pPr>
      <w:r>
        <w:rPr>
          <w:rFonts w:ascii="Arial" w:cs="Arial" w:eastAsia="Arial" w:hAnsi="Arial"/>
          <w:sz w:val="22"/>
          <w:szCs w:val="22"/>
        </w:rPr>
        <w:t xml:space="preserve">Document the standard terms and conditions included in all PEC contracts so staff can accurately communicate policies to customers.</w:t>
      </w:r>
    </w:p>
    <w:p>
      <w:pPr>
        <w:pStyle w:val="Heading2"/>
        <w:spacing w:after="100" w:before="200"/>
      </w:pPr>
      <w:r>
        <w:rPr>
          <w:rFonts w:ascii="Arial" w:cs="Arial" w:eastAsia="Arial" w:hAnsi="Arial"/>
          <w:b/>
          <w:bCs/>
          <w:color w:val="1B3A5C"/>
          <w:sz w:val="28"/>
          <w:szCs w:val="28"/>
        </w:rPr>
        <w:t xml:space="preserve">Scope</w:t>
      </w:r>
    </w:p>
    <w:p>
      <w:pPr>
        <w:spacing w:after="100"/>
      </w:pPr>
      <w:r>
        <w:rPr>
          <w:rFonts w:ascii="Arial" w:cs="Arial" w:eastAsia="Arial" w:hAnsi="Arial"/>
          <w:sz w:val="22"/>
          <w:szCs w:val="22"/>
        </w:rPr>
        <w:t xml:space="preserve">All PEC staff involved in sales, estimation, and customer communication.</w:t>
      </w:r>
    </w:p>
    <w:p>
      <w:pPr>
        <w:pStyle w:val="Heading2"/>
        <w:spacing w:after="100" w:before="200"/>
      </w:pPr>
      <w:r>
        <w:rPr>
          <w:rFonts w:ascii="Arial" w:cs="Arial" w:eastAsia="Arial" w:hAnsi="Arial"/>
          <w:b/>
          <w:bCs/>
          <w:color w:val="1B3A5C"/>
          <w:sz w:val="28"/>
          <w:szCs w:val="28"/>
        </w:rPr>
        <w:t xml:space="preserve">Tools and Materials</w:t>
      </w:r>
    </w:p>
    <w:p>
      <w:pPr>
        <w:pStyle w:val="ListParagraph"/>
        <w:numPr>
          <w:ilvl w:val="0"/>
          <w:numId w:val="2"/>
        </w:numPr>
        <w:spacing w:after="40"/>
      </w:pPr>
      <w:r>
        <w:rPr>
          <w:rFonts w:ascii="Arial" w:cs="Arial" w:eastAsia="Arial" w:hAnsi="Arial"/>
          <w:sz w:val="22"/>
          <w:szCs w:val="22"/>
        </w:rPr>
        <w:t xml:space="preserve">PEC contract/proposal template</w:t>
      </w:r>
    </w:p>
    <w:p>
      <w:pPr>
        <w:pStyle w:val="ListParagraph"/>
        <w:numPr>
          <w:ilvl w:val="0"/>
          <w:numId w:val="2"/>
        </w:numPr>
        <w:spacing w:after="40"/>
      </w:pPr>
      <w:r>
        <w:rPr>
          <w:rFonts w:ascii="Arial" w:cs="Arial" w:eastAsia="Arial" w:hAnsi="Arial"/>
          <w:sz w:val="22"/>
          <w:szCs w:val="22"/>
        </w:rPr>
        <w:t xml:space="preserve">DripJobs CRM</w:t>
      </w:r>
    </w:p>
    <w:p>
      <w:pPr>
        <w:pStyle w:val="Heading2"/>
        <w:spacing w:after="100" w:before="240"/>
      </w:pPr>
      <w:r>
        <w:rPr>
          <w:rFonts w:ascii="Arial" w:cs="Arial" w:eastAsia="Arial" w:hAnsi="Arial"/>
          <w:b/>
          <w:bCs/>
          <w:color w:val="1B3A5C"/>
          <w:sz w:val="28"/>
          <w:szCs w:val="28"/>
        </w:rPr>
        <w:t xml:space="preserve">Procedure</w:t>
      </w:r>
    </w:p>
    <w:p>
      <w:pPr>
        <w:pStyle w:val="Heading3"/>
        <w:spacing w:after="80" w:before="200"/>
      </w:pPr>
      <w:r>
        <w:rPr>
          <w:rFonts w:ascii="Arial" w:cs="Arial" w:eastAsia="Arial" w:hAnsi="Arial"/>
          <w:b/>
          <w:bCs/>
          <w:color w:val="2E5D8A"/>
          <w:sz w:val="24"/>
          <w:szCs w:val="24"/>
        </w:rPr>
        <w:t xml:space="preserve">Scope of Work and Pricing</w:t>
      </w:r>
    </w:p>
    <w:p>
      <w:pPr>
        <w:spacing w:after="80"/>
      </w:pPr>
      <w:r>
        <w:rPr>
          <w:rFonts w:ascii="Arial" w:cs="Arial" w:eastAsia="Arial" w:hAnsi="Arial"/>
          <w:sz w:val="22"/>
          <w:szCs w:val="22"/>
        </w:rPr>
        <w:t xml:space="preserve">The price listed includes only the labor and materials specifically described in the Scope of Work. Any work, materials, preparation, repairs, or services not expressly stated are excluded unless added through a written change order approved by both parties.</w:t>
      </w:r>
    </w:p>
    <w:p>
      <w:pPr>
        <w:pStyle w:val="Heading3"/>
        <w:spacing w:after="80" w:before="200"/>
      </w:pPr>
      <w:r>
        <w:rPr>
          <w:rFonts w:ascii="Arial" w:cs="Arial" w:eastAsia="Arial" w:hAnsi="Arial"/>
          <w:b/>
          <w:bCs/>
          <w:color w:val="2E5D8A"/>
          <w:sz w:val="24"/>
          <w:szCs w:val="24"/>
        </w:rPr>
        <w:t xml:space="preserve">Compensation and Cancellation</w:t>
      </w:r>
    </w:p>
    <w:p>
      <w:pPr>
        <w:pStyle w:val="ListParagraph"/>
        <w:numPr>
          <w:ilvl w:val="0"/>
          <w:numId w:val="2"/>
        </w:numPr>
        <w:spacing w:after="40"/>
      </w:pPr>
      <w:r>
        <w:rPr>
          <w:rFonts w:ascii="Arial" w:cs="Arial" w:eastAsia="Arial" w:hAnsi="Arial"/>
          <w:sz w:val="22"/>
          <w:szCs w:val="22"/>
        </w:rPr>
        <w:t xml:space="preserve">Deposits and payments are applied toward scheduling, administrative costs, and materials procurement and are non-refundable once materials are ordered or work is scheduled.</w:t>
      </w:r>
    </w:p>
    <w:p>
      <w:pPr>
        <w:pStyle w:val="ListParagraph"/>
        <w:numPr>
          <w:ilvl w:val="0"/>
          <w:numId w:val="2"/>
        </w:numPr>
        <w:spacing w:after="40"/>
      </w:pPr>
      <w:r>
        <w:rPr>
          <w:rFonts w:ascii="Arial" w:cs="Arial" w:eastAsia="Arial" w:hAnsi="Arial"/>
          <w:sz w:val="22"/>
          <w:szCs w:val="22"/>
        </w:rPr>
        <w:t xml:space="preserve">If the contract is cancelled by the Client after acceptance, Client agrees to pay liquidated damages equal to costs incurred and lost scheduling opportunity, not to exceed 50% of the total proposal amount.</w:t>
      </w:r>
    </w:p>
    <w:p>
      <w:pPr>
        <w:pStyle w:val="ListParagraph"/>
        <w:numPr>
          <w:ilvl w:val="0"/>
          <w:numId w:val="2"/>
        </w:numPr>
        <w:spacing w:after="40"/>
      </w:pPr>
      <w:r>
        <w:rPr>
          <w:rFonts w:ascii="Arial" w:cs="Arial" w:eastAsia="Arial" w:hAnsi="Arial"/>
          <w:sz w:val="22"/>
          <w:szCs w:val="22"/>
        </w:rPr>
        <w:t xml:space="preserve">Multiple discounts may not be combined.</w:t>
      </w:r>
    </w:p>
    <w:p>
      <w:pPr>
        <w:pStyle w:val="Heading3"/>
        <w:spacing w:after="80" w:before="200"/>
      </w:pPr>
      <w:r>
        <w:rPr>
          <w:rFonts w:ascii="Arial" w:cs="Arial" w:eastAsia="Arial" w:hAnsi="Arial"/>
          <w:b/>
          <w:bCs/>
          <w:color w:val="2E5D8A"/>
          <w:sz w:val="24"/>
          <w:szCs w:val="24"/>
        </w:rPr>
        <w:t xml:space="preserve">Existing and Previous Coatings</w:t>
      </w:r>
    </w:p>
    <w:p>
      <w:pPr>
        <w:spacing w:after="80"/>
      </w:pPr>
      <w:r>
        <w:rPr>
          <w:rFonts w:ascii="Arial" w:cs="Arial" w:eastAsia="Arial" w:hAnsi="Arial"/>
          <w:sz w:val="22"/>
          <w:szCs w:val="22"/>
        </w:rPr>
        <w:t xml:space="preserve">PEC is not responsible for failure, delamination, or damage caused by existing coatings, sealers, curing agents, finishes, or contaminants that are unknown, incompatible, improperly installed, or not visible at the time of installation.</w:t>
      </w:r>
    </w:p>
    <w:p>
      <w:pPr>
        <w:spacing w:after="80"/>
      </w:pPr>
      <w:r>
        <w:rPr>
          <w:rFonts w:ascii="Arial" w:cs="Arial" w:eastAsia="Arial" w:hAnsi="Arial"/>
          <w:sz w:val="22"/>
          <w:szCs w:val="22"/>
        </w:rPr>
        <w:t xml:space="preserve">Low-tack tape is used for clean release; however, PEC is not responsible for coatings or finishes pulled up during installation.</w:t>
      </w:r>
    </w:p>
    <w:p>
      <w:pPr>
        <w:pStyle w:val="Heading3"/>
        <w:spacing w:after="80" w:before="200"/>
      </w:pPr>
      <w:r>
        <w:rPr>
          <w:rFonts w:ascii="Arial" w:cs="Arial" w:eastAsia="Arial" w:hAnsi="Arial"/>
          <w:b/>
          <w:bCs/>
          <w:color w:val="2E5D8A"/>
          <w:sz w:val="24"/>
          <w:szCs w:val="24"/>
        </w:rPr>
        <w:t xml:space="preserve">Installation Conditions</w:t>
      </w:r>
    </w:p>
    <w:p>
      <w:pPr>
        <w:pStyle w:val="ListParagraph"/>
        <w:numPr>
          <w:ilvl w:val="0"/>
          <w:numId w:val="2"/>
        </w:numPr>
        <w:spacing w:after="40"/>
      </w:pPr>
      <w:r>
        <w:rPr>
          <w:rFonts w:ascii="Arial" w:cs="Arial" w:eastAsia="Arial" w:hAnsi="Arial"/>
          <w:sz w:val="22"/>
          <w:szCs w:val="22"/>
        </w:rPr>
        <w:t xml:space="preserve">Control joints are not filled unless expressly stated in writing.</w:t>
      </w:r>
    </w:p>
    <w:p>
      <w:pPr>
        <w:pStyle w:val="ListParagraph"/>
        <w:numPr>
          <w:ilvl w:val="0"/>
          <w:numId w:val="2"/>
        </w:numPr>
        <w:spacing w:after="40"/>
      </w:pPr>
      <w:r>
        <w:rPr>
          <w:rFonts w:ascii="Arial" w:cs="Arial" w:eastAsia="Arial" w:hAnsi="Arial"/>
          <w:sz w:val="22"/>
          <w:szCs w:val="22"/>
        </w:rPr>
        <w:t xml:space="preserve">PEC is not responsible for damage caused by people or animals accessing the area during curing, or by garage doors being closed during curing.</w:t>
      </w:r>
    </w:p>
    <w:p>
      <w:pPr>
        <w:pStyle w:val="ListParagraph"/>
        <w:numPr>
          <w:ilvl w:val="0"/>
          <w:numId w:val="2"/>
        </w:numPr>
        <w:spacing w:after="40"/>
      </w:pPr>
      <w:r>
        <w:rPr>
          <w:rFonts w:ascii="Arial" w:cs="Arial" w:eastAsia="Arial" w:hAnsi="Arial"/>
          <w:sz w:val="22"/>
          <w:szCs w:val="22"/>
        </w:rPr>
        <w:t xml:space="preserve">Foot traffic: No sooner than 24 hours after final coat.</w:t>
      </w:r>
    </w:p>
    <w:p>
      <w:pPr>
        <w:pStyle w:val="ListParagraph"/>
        <w:numPr>
          <w:ilvl w:val="0"/>
          <w:numId w:val="2"/>
        </w:numPr>
        <w:spacing w:after="40"/>
      </w:pPr>
      <w:r>
        <w:rPr>
          <w:rFonts w:ascii="Arial" w:cs="Arial" w:eastAsia="Arial" w:hAnsi="Arial"/>
          <w:sz w:val="22"/>
          <w:szCs w:val="22"/>
        </w:rPr>
        <w:t xml:space="preserve">Vehicle traffic: Minimum 48 hours after final coat.</w:t>
      </w:r>
    </w:p>
    <w:p>
      <w:pPr>
        <w:pStyle w:val="ListParagraph"/>
        <w:numPr>
          <w:ilvl w:val="0"/>
          <w:numId w:val="2"/>
        </w:numPr>
        <w:spacing w:after="40"/>
      </w:pPr>
      <w:r>
        <w:rPr>
          <w:rFonts w:ascii="Arial" w:cs="Arial" w:eastAsia="Arial" w:hAnsi="Arial"/>
          <w:sz w:val="22"/>
          <w:szCs w:val="22"/>
        </w:rPr>
        <w:t xml:space="preserve">Client is responsible for removing all items from work area prior to installation.</w:t>
      </w:r>
    </w:p>
    <w:p>
      <w:pPr>
        <w:pStyle w:val="ListParagraph"/>
        <w:numPr>
          <w:ilvl w:val="0"/>
          <w:numId w:val="2"/>
        </w:numPr>
        <w:spacing w:after="40"/>
      </w:pPr>
      <w:r>
        <w:rPr>
          <w:rFonts w:ascii="Arial" w:cs="Arial" w:eastAsia="Arial" w:hAnsi="Arial"/>
          <w:sz w:val="22"/>
          <w:szCs w:val="22"/>
        </w:rPr>
        <w:t xml:space="preserve">Floors are priced for single-phase installation. Multi-phase requests may result in additional charges.</w:t>
      </w:r>
    </w:p>
    <w:p>
      <w:pPr>
        <w:pStyle w:val="ListParagraph"/>
        <w:numPr>
          <w:ilvl w:val="0"/>
          <w:numId w:val="2"/>
        </w:numPr>
        <w:spacing w:after="40"/>
      </w:pPr>
      <w:r>
        <w:rPr>
          <w:rFonts w:ascii="Arial" w:cs="Arial" w:eastAsia="Arial" w:hAnsi="Arial"/>
          <w:sz w:val="22"/>
          <w:szCs w:val="22"/>
        </w:rPr>
        <w:t xml:space="preserve">Flake color changes after material is ordered will incur additional costs via change order.</w:t>
      </w:r>
    </w:p>
    <w:p>
      <w:pPr>
        <w:pStyle w:val="Heading3"/>
        <w:spacing w:after="80" w:before="200"/>
      </w:pPr>
      <w:r>
        <w:rPr>
          <w:rFonts w:ascii="Arial" w:cs="Arial" w:eastAsia="Arial" w:hAnsi="Arial"/>
          <w:b/>
          <w:bCs/>
          <w:color w:val="2E5D8A"/>
          <w:sz w:val="24"/>
          <w:szCs w:val="24"/>
        </w:rPr>
        <w:t xml:space="preserve">Moisture Disclaimer</w:t>
      </w:r>
    </w:p>
    <w:p>
      <w:pPr>
        <w:spacing w:after="80"/>
      </w:pPr>
      <w:r>
        <w:rPr>
          <w:rFonts w:ascii="Arial" w:cs="Arial" w:eastAsia="Arial" w:hAnsi="Arial"/>
          <w:sz w:val="22"/>
          <w:szCs w:val="22"/>
        </w:rPr>
        <w:t xml:space="preserve">Unless a moisture mitigation system is specifically quoted and installed, no warranty is provided against coating failure caused by moisture transmission, vapor pressure, or water intrusion through the concrete slab.</w:t>
      </w:r>
    </w:p>
    <w:p>
      <w:pPr>
        <w:pStyle w:val="Heading3"/>
        <w:spacing w:after="80" w:before="200"/>
      </w:pPr>
      <w:r>
        <w:rPr>
          <w:rFonts w:ascii="Arial" w:cs="Arial" w:eastAsia="Arial" w:hAnsi="Arial"/>
          <w:b/>
          <w:bCs/>
          <w:color w:val="2E5D8A"/>
          <w:sz w:val="24"/>
          <w:szCs w:val="24"/>
        </w:rPr>
        <w:t xml:space="preserve">Polyaspartic Clear Coat</w:t>
      </w:r>
    </w:p>
    <w:p>
      <w:pPr>
        <w:spacing w:after="80"/>
      </w:pPr>
      <w:r>
        <w:rPr>
          <w:rFonts w:ascii="Arial" w:cs="Arial" w:eastAsia="Arial" w:hAnsi="Arial"/>
          <w:sz w:val="22"/>
          <w:szCs w:val="22"/>
        </w:rPr>
        <w:t xml:space="preserve">Polyaspartic clear coats may stain or chemically react when exposed to diesel fuel, brake fluid, brake cleaner, plasticizer migration from high-performance tires, or other harsh substances. Such damage is expressly excluded from warranty.</w:t>
      </w:r>
    </w:p>
    <w:p>
      <w:pPr>
        <w:spacing w:after="80"/>
      </w:pPr>
      <w:r>
        <w:rPr>
          <w:rFonts w:ascii="Arial" w:cs="Arial" w:eastAsia="Arial" w:hAnsi="Arial"/>
          <w:sz w:val="22"/>
          <w:szCs w:val="22"/>
        </w:rPr>
        <w:t xml:space="preserve">Clients parking high-performance vehicles or performing automotive work are advised to use protective mats or drip trays.</w:t>
      </w:r>
    </w:p>
    <w:p>
      <w:pPr>
        <w:pStyle w:val="Heading3"/>
        <w:spacing w:after="80" w:before="200"/>
      </w:pPr>
      <w:r>
        <w:rPr>
          <w:rFonts w:ascii="Arial" w:cs="Arial" w:eastAsia="Arial" w:hAnsi="Arial"/>
          <w:b/>
          <w:bCs/>
          <w:color w:val="2E5D8A"/>
          <w:sz w:val="24"/>
          <w:szCs w:val="24"/>
        </w:rPr>
        <w:t xml:space="preserve">Warranty</w:t>
      </w:r>
    </w:p>
    <w:p>
      <w:pPr>
        <w:pStyle w:val="ListParagraph"/>
        <w:numPr>
          <w:ilvl w:val="0"/>
          <w:numId w:val="2"/>
        </w:numPr>
        <w:spacing w:after="40"/>
      </w:pPr>
      <w:r>
        <w:rPr>
          <w:rFonts w:ascii="Arial" w:cs="Arial" w:eastAsia="Arial" w:hAnsi="Arial"/>
          <w:sz w:val="22"/>
          <w:szCs w:val="22"/>
        </w:rPr>
        <w:t xml:space="preserve">Limited interior 10-year warranty for garage floors and interior epoxy systems, subject to exclusions.</w:t>
      </w:r>
    </w:p>
    <w:p>
      <w:pPr>
        <w:pStyle w:val="ListParagraph"/>
        <w:numPr>
          <w:ilvl w:val="0"/>
          <w:numId w:val="2"/>
        </w:numPr>
        <w:spacing w:after="40"/>
      </w:pPr>
      <w:r>
        <w:rPr>
          <w:rFonts w:ascii="Arial" w:cs="Arial" w:eastAsia="Arial" w:hAnsi="Arial"/>
          <w:sz w:val="22"/>
          <w:szCs w:val="22"/>
        </w:rPr>
        <w:t xml:space="preserve">Exterior warranty: 2 years.</w:t>
      </w:r>
    </w:p>
    <w:p>
      <w:pPr>
        <w:pStyle w:val="ListParagraph"/>
        <w:numPr>
          <w:ilvl w:val="0"/>
          <w:numId w:val="2"/>
        </w:numPr>
        <w:spacing w:after="40"/>
      </w:pPr>
      <w:r>
        <w:rPr>
          <w:rFonts w:ascii="Arial" w:cs="Arial" w:eastAsia="Arial" w:hAnsi="Arial"/>
          <w:sz w:val="22"/>
          <w:szCs w:val="22"/>
        </w:rPr>
        <w:t xml:space="preserve">Exclusions: moisture-related failures, chemical exposure, UV exposure, abuse, neglect, improper maintenance, unauthorized modifications, and normal wear.</w:t>
      </w:r>
    </w:p>
    <w:p>
      <w:pPr>
        <w:pStyle w:val="Heading3"/>
        <w:spacing w:after="80" w:before="200"/>
      </w:pPr>
      <w:r>
        <w:rPr>
          <w:rFonts w:ascii="Arial" w:cs="Arial" w:eastAsia="Arial" w:hAnsi="Arial"/>
          <w:b/>
          <w:bCs/>
          <w:color w:val="2E5D8A"/>
          <w:sz w:val="24"/>
          <w:szCs w:val="24"/>
        </w:rPr>
        <w:t xml:space="preserve">Payment Terms</w:t>
      </w:r>
    </w:p>
    <w:p>
      <w:pPr>
        <w:pStyle w:val="ListParagraph"/>
        <w:numPr>
          <w:ilvl w:val="0"/>
          <w:numId w:val="2"/>
        </w:numPr>
        <w:spacing w:after="40"/>
      </w:pPr>
      <w:r>
        <w:rPr>
          <w:rFonts w:ascii="Arial" w:cs="Arial" w:eastAsia="Arial" w:hAnsi="Arial"/>
          <w:sz w:val="22"/>
          <w:szCs w:val="22"/>
        </w:rPr>
        <w:t xml:space="preserve">Payment is due the same day work is completed for residential projects.</w:t>
      </w:r>
    </w:p>
    <w:p>
      <w:pPr>
        <w:pStyle w:val="ListParagraph"/>
        <w:numPr>
          <w:ilvl w:val="0"/>
          <w:numId w:val="2"/>
        </w:numPr>
        <w:spacing w:after="40"/>
      </w:pPr>
      <w:r>
        <w:rPr>
          <w:rFonts w:ascii="Arial" w:cs="Arial" w:eastAsia="Arial" w:hAnsi="Arial"/>
          <w:sz w:val="22"/>
          <w:szCs w:val="22"/>
        </w:rPr>
        <w:t xml:space="preserve">Accepted methods: check and Zelle (no processing fee). Credit/debit cards subject to 3% processing fee.</w:t>
      </w:r>
    </w:p>
    <w:p>
      <w:pPr>
        <w:pStyle w:val="ListParagraph"/>
        <w:numPr>
          <w:ilvl w:val="0"/>
          <w:numId w:val="2"/>
        </w:numPr>
        <w:spacing w:after="40"/>
      </w:pPr>
      <w:r>
        <w:rPr>
          <w:rFonts w:ascii="Arial" w:cs="Arial" w:eastAsia="Arial" w:hAnsi="Arial"/>
          <w:sz w:val="22"/>
          <w:szCs w:val="22"/>
        </w:rPr>
        <w:t xml:space="preserve">Late payment (over 14 days): $50 per $1,000 owed or $25 per $500 owed. Balances under $500 incur a 10% late fee.</w:t>
      </w:r>
    </w:p>
    <w:p>
      <w:r>
        <w:br w:type="page"/>
      </w:r>
    </w:p>
    <w:p>
      <w:pPr>
        <w:pStyle w:val="Heading2"/>
        <w:spacing w:after="100" w:before="200"/>
      </w:pPr>
      <w:r>
        <w:rPr>
          <w:rFonts w:ascii="Arial" w:cs="Arial" w:eastAsia="Arial" w:hAnsi="Arial"/>
          <w:b/>
          <w:bCs/>
          <w:color w:val="1B3A5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2026-04-13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Dylan Nordby / SOP Manager</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Initial version created from training documentation.</w:t>
            </w:r>
          </w:p>
        </w:tc>
      </w:tr>
    </w:tbl>
    <w:p>
      <w:pPr>
        <w:spacing w:before="400"/>
      </w:pPr>
      <w:r>
        <w:rPr>
          <w:rFonts w:ascii="Arial" w:cs="Arial" w:eastAsia="Arial" w:hAnsi="Arial"/>
          <w:i/>
          <w:iCs/>
          <w:color w:val="999999"/>
          <w:sz w:val="16"/>
          <w:szCs w:val="16"/>
        </w:rPr>
        <w:t xml:space="preserve">Source: SOP Hub | Generated 2026-04-13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Prescott Epoxy Company</w:t>
    </w:r>
    <w:r>
      <w:rPr>
        <w:rFonts w:ascii="Arial" w:cs="Arial" w:eastAsia="Arial" w:hAnsi="Arial"/>
        <w:color w:val="999999"/>
        <w:sz w:val="16"/>
        <w:szCs w:val="16"/>
      </w:rPr>
      <w:t xml:space="preserve">  |  </w:t>
    </w:r>
    <w:r>
      <w:rPr>
        <w:rFonts w:ascii="Arial" w:cs="Arial" w:eastAsia="Arial" w:hAnsi="Arial"/>
        <w:b/>
        <w:bCs/>
        <w:color w:val="999999"/>
        <w:sz w:val="16"/>
        <w:szCs w:val="16"/>
      </w:rPr>
      <w:t xml:space="preserve">PEC-ADMIN-002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2026-04-13T14:09:04.355Z</dcterms:created>
  <dcterms:modified xsi:type="dcterms:W3CDTF">2026-04-13T14:09:04.355Z</dcterms:modified>
</cp:coreProperties>
</file>

<file path=docProps/custom.xml><?xml version="1.0" encoding="utf-8"?>
<Properties xmlns="http://schemas.openxmlformats.org/officeDocument/2006/custom-properties" xmlns:vt="http://schemas.openxmlformats.org/officeDocument/2006/docPropsVTypes"/>
</file>