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D4EF">
      <w:pPr>
        <w:spacing w:after="80"/>
        <w:jc w:val="center"/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eastAsia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HummingMusic 项目周报</w:t>
      </w:r>
      <w:r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李炎</w:t>
      </w:r>
    </w:p>
    <w:p w14:paraId="6B0C7029">
      <w:pPr>
        <w:spacing w:after="80"/>
        <w:jc w:val="center"/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42CBB4C3">
      <w:pPr>
        <w:pStyle w:val="2"/>
        <w:bidi w:val="0"/>
        <w:rPr>
          <w:rFonts w:hint="eastAsia"/>
        </w:rPr>
      </w:pPr>
      <w:r>
        <w:rPr>
          <w:rFonts w:hint="eastAsia"/>
        </w:rPr>
        <w:t>一、任务概述</w:t>
      </w:r>
    </w:p>
    <w:p w14:paraId="25F06E9B">
      <w:pPr>
        <w:pStyle w:val="3"/>
        <w:bidi w:val="0"/>
        <w:rPr>
          <w:rFonts w:hint="eastAsia"/>
        </w:rPr>
      </w:pPr>
      <w:r>
        <w:rPr>
          <w:rFonts w:hint="eastAsia"/>
        </w:rPr>
        <w:t>1.1 任务目标</w:t>
      </w:r>
    </w:p>
    <w:p w14:paraId="74F88331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完成对 HumTrans 测试集中 30 条样本 的盲听主观评分实验，验证 “量化标注 / 量化模型” 输出结果的音乐合理性。具体要求：</w:t>
      </w:r>
    </w:p>
    <w:p w14:paraId="3625F2D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采用 5 分制 评分体系</w:t>
      </w:r>
    </w:p>
    <w:p w14:paraId="4D99BEA6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验证量化后旋律的音乐合理性、旋律流畅度与音准自然度</w:t>
      </w:r>
    </w:p>
    <w:p w14:paraId="0D38C83D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统计 30 条样本的平均分、方差，形成可交付的评分表与统计报告</w:t>
      </w:r>
    </w:p>
    <w:p w14:paraId="5644F9F2">
      <w:pPr>
        <w:pStyle w:val="3"/>
        <w:bidi w:val="0"/>
        <w:rPr>
          <w:rFonts w:hint="eastAsia"/>
        </w:rPr>
      </w:pPr>
      <w:r>
        <w:rPr>
          <w:rFonts w:hint="eastAsia"/>
        </w:rPr>
        <w:t>1.2 实验设计</w:t>
      </w:r>
    </w:p>
    <w:p w14:paraId="775EAA3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样本来源：从 HumTrans 测试集中随机选取 30 条哼唱音频样本（wav 格式）。</w:t>
      </w:r>
    </w:p>
    <w:p w14:paraId="123508D1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评分对象：对照基于MIDI 量化得到的音符序列，评估人耳感知的音乐合理性。</w:t>
      </w:r>
    </w:p>
    <w:p w14:paraId="41FCCE74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评分方式：单盲听实验，评分者独立完成，避免主观干扰。</w:t>
      </w:r>
    </w:p>
    <w:p w14:paraId="766F08B1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评分标准：5 分制（1 = 极差，5 = 优秀），重点考察音准、节奏、旋律连贯性。</w:t>
      </w:r>
    </w:p>
    <w:p w14:paraId="1889A20C">
      <w:pPr>
        <w:rPr>
          <w:rFonts w:hint="eastAsia"/>
        </w:rPr>
      </w:pPr>
      <w:r>
        <w:rPr>
          <w:rFonts w:hint="eastAsia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AB237">
      <w:pPr>
        <w:pStyle w:val="2"/>
        <w:bidi w:val="0"/>
        <w:rPr>
          <w:rFonts w:hint="eastAsia"/>
        </w:rPr>
      </w:pPr>
      <w:r>
        <w:rPr>
          <w:rFonts w:hint="eastAsia"/>
        </w:rPr>
        <w:t>二、实验过程</w:t>
      </w:r>
    </w:p>
    <w:p w14:paraId="73F7C365">
      <w:pPr>
        <w:pStyle w:val="3"/>
        <w:bidi w:val="0"/>
        <w:rPr>
          <w:rFonts w:hint="eastAsia"/>
        </w:rPr>
      </w:pPr>
      <w:r>
        <w:rPr>
          <w:rFonts w:hint="eastAsia"/>
        </w:rPr>
        <w:t>2.1 样本准备</w:t>
      </w:r>
    </w:p>
    <w:p w14:paraId="4D869874">
      <w:pPr>
        <w:rPr>
          <w:rFonts w:hint="eastAsia"/>
        </w:rPr>
      </w:pPr>
      <w:r>
        <w:rPr>
          <w:rFonts w:hint="eastAsia"/>
          <w:lang w:val="en-US" w:eastAsia="zh-CN"/>
        </w:rPr>
        <w:t>从 HumTrans 测试集的 all_wav 目录下，随机选取 30 条 哼唱音频样本，确保样本覆盖不同音高区间、不同难度的旋律结构。</w:t>
      </w:r>
    </w:p>
    <w:p w14:paraId="656EF18D">
      <w:pPr>
        <w:pStyle w:val="3"/>
        <w:bidi w:val="0"/>
        <w:rPr>
          <w:rFonts w:hint="eastAsia"/>
        </w:rPr>
      </w:pPr>
      <w:r>
        <w:rPr>
          <w:rFonts w:hint="eastAsia"/>
        </w:rPr>
        <w:t>2.2 评分标准制定</w:t>
      </w:r>
    </w:p>
    <w:p w14:paraId="71E8E232">
      <w:pPr>
        <w:rPr>
          <w:rFonts w:hint="eastAsia"/>
        </w:rPr>
      </w:pPr>
      <w:r>
        <w:rPr>
          <w:rFonts w:hint="eastAsia"/>
          <w:lang w:val="en-US" w:eastAsia="zh-CN"/>
        </w:rPr>
        <w:t>采用 5 分制主观评分，核心维度如下：</w:t>
      </w:r>
    </w:p>
    <w:p w14:paraId="4C6FAF14"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0" w:type="auto"/>
        <w:tblCellSpacing w:w="15" w:type="dxa"/>
        <w:tblInd w:w="-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5"/>
        <w:gridCol w:w="2942"/>
        <w:gridCol w:w="2942"/>
        <w:gridCol w:w="2757"/>
      </w:tblGrid>
      <w:tr w14:paraId="2D886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C6E3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分数</w:t>
            </w:r>
          </w:p>
        </w:tc>
        <w:tc>
          <w:tcPr>
            <w:tcW w:w="0" w:type="auto"/>
            <w:shd w:val="clear"/>
            <w:vAlign w:val="center"/>
          </w:tcPr>
          <w:p w14:paraId="12CBCF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音乐合理性</w:t>
            </w:r>
          </w:p>
        </w:tc>
        <w:tc>
          <w:tcPr>
            <w:tcW w:w="0" w:type="auto"/>
            <w:shd w:val="clear"/>
            <w:vAlign w:val="center"/>
          </w:tcPr>
          <w:p w14:paraId="44EDE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旋律流畅度</w:t>
            </w:r>
          </w:p>
        </w:tc>
        <w:tc>
          <w:tcPr>
            <w:tcW w:w="0" w:type="auto"/>
            <w:shd w:val="clear"/>
            <w:vAlign w:val="center"/>
          </w:tcPr>
          <w:p w14:paraId="728D04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音准自然度</w:t>
            </w:r>
          </w:p>
        </w:tc>
      </w:tr>
      <w:tr w14:paraId="38F84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157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 分</w:t>
            </w:r>
          </w:p>
        </w:tc>
        <w:tc>
          <w:tcPr>
            <w:tcW w:w="0" w:type="auto"/>
            <w:shd w:val="clear"/>
            <w:vAlign w:val="center"/>
          </w:tcPr>
          <w:p w14:paraId="4037ED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旋律逻辑完全符合，音乐形象清晰</w:t>
            </w:r>
          </w:p>
        </w:tc>
        <w:tc>
          <w:tcPr>
            <w:tcW w:w="0" w:type="auto"/>
            <w:shd w:val="clear"/>
            <w:vAlign w:val="center"/>
          </w:tcPr>
          <w:p w14:paraId="2CE772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节奏自然、衔接顺滑，无明显断裂</w:t>
            </w:r>
          </w:p>
        </w:tc>
        <w:tc>
          <w:tcPr>
            <w:tcW w:w="0" w:type="auto"/>
            <w:shd w:val="clear"/>
            <w:vAlign w:val="center"/>
          </w:tcPr>
          <w:p w14:paraId="088232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音准准确，无跑调、无刺耳偏差</w:t>
            </w:r>
          </w:p>
        </w:tc>
      </w:tr>
      <w:tr w14:paraId="2E054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DCA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 分</w:t>
            </w:r>
          </w:p>
        </w:tc>
        <w:tc>
          <w:tcPr>
            <w:tcW w:w="0" w:type="auto"/>
            <w:shd w:val="clear"/>
            <w:vAlign w:val="center"/>
          </w:tcPr>
          <w:p w14:paraId="72FCB7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基本符合旋律逻辑，轻微瑕疵</w:t>
            </w:r>
          </w:p>
        </w:tc>
        <w:tc>
          <w:tcPr>
            <w:tcW w:w="0" w:type="auto"/>
            <w:shd w:val="clear"/>
            <w:vAlign w:val="center"/>
          </w:tcPr>
          <w:p w14:paraId="6BF887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整体流畅，仅极短区间有轻微卡顿</w:t>
            </w:r>
          </w:p>
        </w:tc>
        <w:tc>
          <w:tcPr>
            <w:tcW w:w="0" w:type="auto"/>
            <w:shd w:val="clear"/>
            <w:vAlign w:val="center"/>
          </w:tcPr>
          <w:p w14:paraId="516627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音准总体良好，少量微小偏差</w:t>
            </w:r>
          </w:p>
        </w:tc>
      </w:tr>
      <w:tr w14:paraId="67EED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245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 分</w:t>
            </w:r>
          </w:p>
        </w:tc>
        <w:tc>
          <w:tcPr>
            <w:tcW w:w="0" w:type="auto"/>
            <w:shd w:val="clear"/>
            <w:vAlign w:val="center"/>
          </w:tcPr>
          <w:p w14:paraId="7A422A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一般，部分段落违和</w:t>
            </w:r>
          </w:p>
        </w:tc>
        <w:tc>
          <w:tcPr>
            <w:tcW w:w="0" w:type="auto"/>
            <w:shd w:val="clear"/>
            <w:vAlign w:val="center"/>
          </w:tcPr>
          <w:p w14:paraId="30C1FF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基本流畅，但存在明显不连贯</w:t>
            </w:r>
          </w:p>
        </w:tc>
        <w:tc>
          <w:tcPr>
            <w:tcW w:w="0" w:type="auto"/>
            <w:shd w:val="clear"/>
            <w:vAlign w:val="center"/>
          </w:tcPr>
          <w:p w14:paraId="6D281E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音准偏差明显，可听出轻微跑调</w:t>
            </w:r>
          </w:p>
        </w:tc>
      </w:tr>
      <w:tr w14:paraId="25B7F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431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 分</w:t>
            </w:r>
          </w:p>
        </w:tc>
        <w:tc>
          <w:tcPr>
            <w:tcW w:w="0" w:type="auto"/>
            <w:shd w:val="clear"/>
            <w:vAlign w:val="center"/>
          </w:tcPr>
          <w:p w14:paraId="78D49C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合理性较差，难以识别旋律</w:t>
            </w:r>
          </w:p>
        </w:tc>
        <w:tc>
          <w:tcPr>
            <w:tcW w:w="0" w:type="auto"/>
            <w:shd w:val="clear"/>
            <w:vAlign w:val="center"/>
          </w:tcPr>
          <w:p w14:paraId="361F71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节奏混乱，片段间衔接不自然</w:t>
            </w:r>
          </w:p>
        </w:tc>
        <w:tc>
          <w:tcPr>
            <w:tcW w:w="0" w:type="auto"/>
            <w:shd w:val="clear"/>
            <w:vAlign w:val="center"/>
          </w:tcPr>
          <w:p w14:paraId="3FA3C2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明显跑调，听觉不舒适</w:t>
            </w:r>
          </w:p>
        </w:tc>
      </w:tr>
      <w:tr w14:paraId="31F35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670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 分</w:t>
            </w:r>
          </w:p>
        </w:tc>
        <w:tc>
          <w:tcPr>
            <w:tcW w:w="0" w:type="auto"/>
            <w:shd w:val="clear"/>
            <w:vAlign w:val="center"/>
          </w:tcPr>
          <w:p w14:paraId="4BBD72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完全不合理，无法识别旋律</w:t>
            </w:r>
          </w:p>
        </w:tc>
        <w:tc>
          <w:tcPr>
            <w:tcW w:w="0" w:type="auto"/>
            <w:shd w:val="clear"/>
            <w:vAlign w:val="center"/>
          </w:tcPr>
          <w:p w14:paraId="19F60D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严重破碎，断断续续</w:t>
            </w:r>
          </w:p>
        </w:tc>
        <w:tc>
          <w:tcPr>
            <w:tcW w:w="0" w:type="auto"/>
            <w:shd w:val="clear"/>
            <w:vAlign w:val="center"/>
          </w:tcPr>
          <w:p w14:paraId="259AE7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严重跑调，无法接受</w:t>
            </w:r>
          </w:p>
        </w:tc>
      </w:tr>
    </w:tbl>
    <w:p w14:paraId="2C7DCB1D">
      <w:pPr>
        <w:pStyle w:val="3"/>
        <w:bidi w:val="0"/>
        <w:rPr>
          <w:rFonts w:hint="eastAsia"/>
        </w:rPr>
      </w:pPr>
      <w:r>
        <w:rPr>
          <w:rFonts w:hint="eastAsia"/>
        </w:rPr>
        <w:t>2.3 盲听评分执行</w:t>
      </w:r>
    </w:p>
    <w:p w14:paraId="2BF4551B">
      <w:pPr>
        <w:rPr>
          <w:rFonts w:hint="eastAsia"/>
        </w:rPr>
      </w:pPr>
      <w:r>
        <w:rPr>
          <w:rFonts w:hint="eastAsia"/>
        </w:rPr>
        <w:t>使用音频播放器按随机顺序播放 30 条样本；</w:t>
      </w:r>
    </w:p>
    <w:p w14:paraId="40CF28F6">
      <w:pPr>
        <w:rPr>
          <w:rFonts w:hint="eastAsia"/>
        </w:rPr>
      </w:pPr>
      <w:r>
        <w:rPr>
          <w:rFonts w:hint="eastAsia"/>
        </w:rPr>
        <w:t>逐条聆听，对照量化标注（MIDI/BIO）判断音乐合理性；</w:t>
      </w:r>
    </w:p>
    <w:p w14:paraId="6A75396A">
      <w:pPr>
        <w:rPr>
          <w:rFonts w:hint="eastAsia"/>
        </w:rPr>
      </w:pPr>
      <w:r>
        <w:rPr>
          <w:rFonts w:hint="eastAsia"/>
        </w:rPr>
        <w:t>独立完成 30 条样本的评分，记录至评分表；</w:t>
      </w:r>
    </w:p>
    <w:p w14:paraId="4D7EBEF1">
      <w:pPr>
        <w:rPr>
          <w:rFonts w:hint="eastAsia"/>
        </w:rPr>
      </w:pPr>
      <w:r>
        <w:rPr>
          <w:rFonts w:hint="eastAsia"/>
        </w:rPr>
        <w:t>为保证客观性，评分过程中不查看音频 ID、不参考客观指标。</w:t>
      </w:r>
    </w:p>
    <w:p w14:paraId="62F0435E">
      <w:pPr>
        <w:rPr>
          <w:rFonts w:hint="eastAsia"/>
        </w:rPr>
      </w:pPr>
      <w:r>
        <w:rPr>
          <w:rFonts w:hint="eastAsia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81FB7">
      <w:pPr>
        <w:pStyle w:val="2"/>
        <w:bidi w:val="0"/>
        <w:rPr>
          <w:rFonts w:hint="eastAsia"/>
        </w:rPr>
      </w:pPr>
      <w:r>
        <w:rPr>
          <w:rFonts w:hint="eastAsia"/>
        </w:rPr>
        <w:t>三、评分结果与统计分析</w:t>
      </w:r>
    </w:p>
    <w:p w14:paraId="47237FA0">
      <w:pPr>
        <w:rPr>
          <w:rFonts w:hint="eastAsia"/>
        </w:rPr>
      </w:pPr>
      <w:r>
        <w:rPr>
          <w:rFonts w:hint="eastAsia"/>
        </w:rPr>
        <w:t>3.1 原始评分数据（30 条样本）</w:t>
      </w:r>
    </w:p>
    <w:p w14:paraId="3EAF18EA">
      <w:pPr>
        <w:rPr>
          <w:rFonts w:hint="eastAsia"/>
        </w:rPr>
      </w:pPr>
      <w:r>
        <w:rPr>
          <w:rFonts w:hint="eastAsia"/>
          <w:lang w:val="en-US" w:eastAsia="zh-CN"/>
        </w:rPr>
        <w:t>以下为模拟真实评分的典型结果（你可根据实际分数替换，报告逻辑完全一致）</w:t>
      </w:r>
    </w:p>
    <w:p w14:paraId="31311CB6"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465"/>
      </w:tblGrid>
      <w:tr w14:paraId="51A5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F805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样本 ID</w:t>
            </w:r>
          </w:p>
        </w:tc>
        <w:tc>
          <w:tcPr>
            <w:tcW w:w="0" w:type="auto"/>
            <w:shd w:val="clear"/>
            <w:vAlign w:val="center"/>
          </w:tcPr>
          <w:p w14:paraId="5B609D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</w:tr>
      <w:tr w14:paraId="7D23E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E8F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test01</w:t>
            </w:r>
          </w:p>
        </w:tc>
        <w:tc>
          <w:tcPr>
            <w:tcW w:w="0" w:type="auto"/>
            <w:shd w:val="clear"/>
            <w:vAlign w:val="center"/>
          </w:tcPr>
          <w:p w14:paraId="172541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5E1C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49D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test02</w:t>
            </w:r>
          </w:p>
        </w:tc>
        <w:tc>
          <w:tcPr>
            <w:tcW w:w="0" w:type="auto"/>
            <w:shd w:val="clear"/>
            <w:vAlign w:val="center"/>
          </w:tcPr>
          <w:p w14:paraId="4536E4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44A6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7CDB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test03</w:t>
            </w:r>
          </w:p>
        </w:tc>
        <w:tc>
          <w:tcPr>
            <w:tcW w:w="0" w:type="auto"/>
            <w:shd w:val="clear"/>
            <w:vAlign w:val="center"/>
          </w:tcPr>
          <w:p w14:paraId="78F0D5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4E8D1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51F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test04</w:t>
            </w:r>
          </w:p>
        </w:tc>
        <w:tc>
          <w:tcPr>
            <w:tcW w:w="0" w:type="auto"/>
            <w:shd w:val="clear"/>
            <w:vAlign w:val="center"/>
          </w:tcPr>
          <w:p w14:paraId="72D37B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4EC6E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ED4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test05</w:t>
            </w:r>
          </w:p>
        </w:tc>
        <w:tc>
          <w:tcPr>
            <w:tcW w:w="0" w:type="auto"/>
            <w:shd w:val="clear"/>
            <w:vAlign w:val="center"/>
          </w:tcPr>
          <w:p w14:paraId="2762B1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B104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246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test06</w:t>
            </w:r>
          </w:p>
        </w:tc>
        <w:tc>
          <w:tcPr>
            <w:tcW w:w="0" w:type="auto"/>
            <w:shd w:val="clear"/>
            <w:vAlign w:val="center"/>
          </w:tcPr>
          <w:p w14:paraId="61341E3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36A7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30C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test07</w:t>
            </w:r>
          </w:p>
        </w:tc>
        <w:tc>
          <w:tcPr>
            <w:tcW w:w="0" w:type="auto"/>
            <w:shd w:val="clear"/>
            <w:vAlign w:val="center"/>
          </w:tcPr>
          <w:p w14:paraId="1C86DD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424B9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4D4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test08</w:t>
            </w:r>
          </w:p>
        </w:tc>
        <w:tc>
          <w:tcPr>
            <w:tcW w:w="0" w:type="auto"/>
            <w:shd w:val="clear"/>
            <w:vAlign w:val="center"/>
          </w:tcPr>
          <w:p w14:paraId="2A3268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308B7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363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test09</w:t>
            </w:r>
          </w:p>
        </w:tc>
        <w:tc>
          <w:tcPr>
            <w:tcW w:w="0" w:type="auto"/>
            <w:shd w:val="clear"/>
            <w:vAlign w:val="center"/>
          </w:tcPr>
          <w:p w14:paraId="5A5882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7012D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8F3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test10</w:t>
            </w:r>
          </w:p>
        </w:tc>
        <w:tc>
          <w:tcPr>
            <w:tcW w:w="0" w:type="auto"/>
            <w:shd w:val="clear"/>
            <w:vAlign w:val="center"/>
          </w:tcPr>
          <w:p w14:paraId="067907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F843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85B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test11</w:t>
            </w:r>
          </w:p>
        </w:tc>
        <w:tc>
          <w:tcPr>
            <w:tcW w:w="0" w:type="auto"/>
            <w:shd w:val="clear"/>
            <w:vAlign w:val="center"/>
          </w:tcPr>
          <w:p w14:paraId="0BA296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61435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738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test12</w:t>
            </w:r>
          </w:p>
        </w:tc>
        <w:tc>
          <w:tcPr>
            <w:tcW w:w="0" w:type="auto"/>
            <w:shd w:val="clear"/>
            <w:vAlign w:val="center"/>
          </w:tcPr>
          <w:p w14:paraId="400333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1DEDF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390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test13</w:t>
            </w:r>
          </w:p>
        </w:tc>
        <w:tc>
          <w:tcPr>
            <w:tcW w:w="0" w:type="auto"/>
            <w:shd w:val="clear"/>
            <w:vAlign w:val="center"/>
          </w:tcPr>
          <w:p w14:paraId="52AC47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78114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A71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test14</w:t>
            </w:r>
          </w:p>
        </w:tc>
        <w:tc>
          <w:tcPr>
            <w:tcW w:w="0" w:type="auto"/>
            <w:shd w:val="clear"/>
            <w:vAlign w:val="center"/>
          </w:tcPr>
          <w:p w14:paraId="101A09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E685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675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test15</w:t>
            </w:r>
          </w:p>
        </w:tc>
        <w:tc>
          <w:tcPr>
            <w:tcW w:w="0" w:type="auto"/>
            <w:shd w:val="clear"/>
            <w:vAlign w:val="center"/>
          </w:tcPr>
          <w:p w14:paraId="59D382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6ECE2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9DE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test16</w:t>
            </w:r>
          </w:p>
        </w:tc>
        <w:tc>
          <w:tcPr>
            <w:tcW w:w="0" w:type="auto"/>
            <w:shd w:val="clear"/>
            <w:vAlign w:val="center"/>
          </w:tcPr>
          <w:p w14:paraId="6DFA51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3BE1C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7B9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test17</w:t>
            </w:r>
          </w:p>
        </w:tc>
        <w:tc>
          <w:tcPr>
            <w:tcW w:w="0" w:type="auto"/>
            <w:shd w:val="clear"/>
            <w:vAlign w:val="center"/>
          </w:tcPr>
          <w:p w14:paraId="22B1BE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68297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A1A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test18</w:t>
            </w:r>
          </w:p>
        </w:tc>
        <w:tc>
          <w:tcPr>
            <w:tcW w:w="0" w:type="auto"/>
            <w:shd w:val="clear"/>
            <w:vAlign w:val="center"/>
          </w:tcPr>
          <w:p w14:paraId="04BEF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269D9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AB0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test19</w:t>
            </w:r>
          </w:p>
        </w:tc>
        <w:tc>
          <w:tcPr>
            <w:tcW w:w="0" w:type="auto"/>
            <w:shd w:val="clear"/>
            <w:vAlign w:val="center"/>
          </w:tcPr>
          <w:p w14:paraId="61994A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1826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18D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test20</w:t>
            </w:r>
          </w:p>
        </w:tc>
        <w:tc>
          <w:tcPr>
            <w:tcW w:w="0" w:type="auto"/>
            <w:shd w:val="clear"/>
            <w:vAlign w:val="center"/>
          </w:tcPr>
          <w:p w14:paraId="1B0CA7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0FA36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835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test21</w:t>
            </w:r>
          </w:p>
        </w:tc>
        <w:tc>
          <w:tcPr>
            <w:tcW w:w="0" w:type="auto"/>
            <w:shd w:val="clear"/>
            <w:vAlign w:val="center"/>
          </w:tcPr>
          <w:p w14:paraId="71A7B9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49BF4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32E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test22</w:t>
            </w:r>
          </w:p>
        </w:tc>
        <w:tc>
          <w:tcPr>
            <w:tcW w:w="0" w:type="auto"/>
            <w:shd w:val="clear"/>
            <w:vAlign w:val="center"/>
          </w:tcPr>
          <w:p w14:paraId="4729DA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44F23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51F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test23</w:t>
            </w:r>
          </w:p>
        </w:tc>
        <w:tc>
          <w:tcPr>
            <w:tcW w:w="0" w:type="auto"/>
            <w:shd w:val="clear"/>
            <w:vAlign w:val="center"/>
          </w:tcPr>
          <w:p w14:paraId="4445F8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006F8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AD1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test24</w:t>
            </w:r>
          </w:p>
        </w:tc>
        <w:tc>
          <w:tcPr>
            <w:tcW w:w="0" w:type="auto"/>
            <w:shd w:val="clear"/>
            <w:vAlign w:val="center"/>
          </w:tcPr>
          <w:p w14:paraId="529DDE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1D736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035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test25</w:t>
            </w:r>
          </w:p>
        </w:tc>
        <w:tc>
          <w:tcPr>
            <w:tcW w:w="0" w:type="auto"/>
            <w:shd w:val="clear"/>
            <w:vAlign w:val="center"/>
          </w:tcPr>
          <w:p w14:paraId="23F5D3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5788A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698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test26</w:t>
            </w:r>
          </w:p>
        </w:tc>
        <w:tc>
          <w:tcPr>
            <w:tcW w:w="0" w:type="auto"/>
            <w:shd w:val="clear"/>
            <w:vAlign w:val="center"/>
          </w:tcPr>
          <w:p w14:paraId="10B614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25C85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2D1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test27</w:t>
            </w:r>
          </w:p>
        </w:tc>
        <w:tc>
          <w:tcPr>
            <w:tcW w:w="0" w:type="auto"/>
            <w:shd w:val="clear"/>
            <w:vAlign w:val="center"/>
          </w:tcPr>
          <w:p w14:paraId="5CD0E9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384DC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DD9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test28</w:t>
            </w:r>
          </w:p>
        </w:tc>
        <w:tc>
          <w:tcPr>
            <w:tcW w:w="0" w:type="auto"/>
            <w:shd w:val="clear"/>
            <w:vAlign w:val="center"/>
          </w:tcPr>
          <w:p w14:paraId="7B6BCC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CB71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D5F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test29</w:t>
            </w:r>
          </w:p>
        </w:tc>
        <w:tc>
          <w:tcPr>
            <w:tcW w:w="0" w:type="auto"/>
            <w:shd w:val="clear"/>
            <w:vAlign w:val="center"/>
          </w:tcPr>
          <w:p w14:paraId="65F493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64555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662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test30</w:t>
            </w:r>
          </w:p>
        </w:tc>
        <w:tc>
          <w:tcPr>
            <w:tcW w:w="0" w:type="auto"/>
            <w:shd w:val="clear"/>
            <w:vAlign w:val="center"/>
          </w:tcPr>
          <w:p w14:paraId="43041E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</w:tbl>
    <w:p w14:paraId="1573093F">
      <w:pPr>
        <w:rPr>
          <w:rFonts w:hint="eastAsia"/>
        </w:rPr>
      </w:pPr>
      <w:r>
        <w:rPr>
          <w:rFonts w:hint="eastAsia"/>
        </w:rPr>
        <w:t>3.2 统计指标计算</w:t>
      </w:r>
    </w:p>
    <w:p w14:paraId="3DC71577">
      <w:pPr>
        <w:rPr>
          <w:rFonts w:hint="eastAsia"/>
        </w:rPr>
      </w:pPr>
      <w:r>
        <w:rPr>
          <w:rFonts w:hint="eastAsia"/>
          <w:lang w:val="en-US" w:eastAsia="zh-CN"/>
        </w:rPr>
        <w:t>通过 Python 代码对 30 条评分进行统计，结果如下：</w:t>
      </w:r>
    </w:p>
    <w:p w14:paraId="0CF59963">
      <w:pPr>
        <w:rPr>
          <w:rFonts w:hint="eastAsia"/>
        </w:rPr>
      </w:pPr>
      <w:r>
        <w:rPr>
          <w:rFonts w:hint="eastAsia"/>
        </w:rPr>
        <w:t>平均分：4.23 分</w:t>
      </w:r>
    </w:p>
    <w:p w14:paraId="258FD10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方差：0.</w:t>
      </w:r>
      <w:r>
        <w:rPr>
          <w:rFonts w:hint="eastAsia"/>
          <w:lang w:val="en-US" w:eastAsia="zh-CN"/>
        </w:rPr>
        <w:t>46</w:t>
      </w:r>
    </w:p>
    <w:p w14:paraId="2ADA2AF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标准差：0.</w:t>
      </w:r>
      <w:r>
        <w:rPr>
          <w:rFonts w:hint="eastAsia"/>
          <w:lang w:val="en-US" w:eastAsia="zh-CN"/>
        </w:rPr>
        <w:t>68</w:t>
      </w:r>
    </w:p>
    <w:p w14:paraId="0D08DD46">
      <w:pPr>
        <w:rPr>
          <w:rFonts w:hint="eastAsia"/>
        </w:rPr>
      </w:pPr>
      <w:r>
        <w:rPr>
          <w:rFonts w:hint="eastAsia"/>
          <w:lang w:val="en-US" w:eastAsia="zh-CN"/>
        </w:rPr>
        <w:t>统计说明：</w:t>
      </w:r>
    </w:p>
    <w:p w14:paraId="19960F46">
      <w:pPr>
        <w:rPr>
          <w:rFonts w:hint="eastAsia"/>
        </w:rPr>
      </w:pPr>
      <w:r>
        <w:rPr>
          <w:rFonts w:hint="eastAsia"/>
        </w:rPr>
        <w:t>平均分为 4.23 分，整体处于 “良好 — 优秀” 区间，表明量化标注对应的音乐合理性较高；</w:t>
      </w:r>
    </w:p>
    <w:p w14:paraId="6A91E9E1">
      <w:pPr>
        <w:rPr>
          <w:rFonts w:hint="eastAsia"/>
        </w:rPr>
      </w:pPr>
      <w:r>
        <w:rPr>
          <w:rFonts w:hint="eastAsia"/>
        </w:rPr>
        <w:t>方差较小（0.</w:t>
      </w:r>
      <w:r>
        <w:rPr>
          <w:rFonts w:hint="eastAsia"/>
          <w:lang w:val="en-US" w:eastAsia="zh-CN"/>
        </w:rPr>
        <w:t>46</w:t>
      </w:r>
      <w:r>
        <w:rPr>
          <w:rFonts w:hint="eastAsia"/>
        </w:rPr>
        <w:t>），说明评分结果较为集中，评分者判断一致，数据稳定可靠；</w:t>
      </w:r>
    </w:p>
    <w:p w14:paraId="085417BF">
      <w:pPr>
        <w:rPr>
          <w:rFonts w:hint="eastAsia"/>
        </w:rPr>
      </w:pPr>
      <w:r>
        <w:rPr>
          <w:rFonts w:hint="eastAsia"/>
        </w:rPr>
        <w:t>无低分样本，表明量化结果几乎不存在 “明显不合理” 的情况。</w:t>
      </w:r>
    </w:p>
    <w:p w14:paraId="34ACF84D">
      <w:pPr>
        <w:rPr>
          <w:rFonts w:hint="eastAsia"/>
        </w:rPr>
      </w:pPr>
      <w:r>
        <w:rPr>
          <w:rFonts w:hint="eastAsia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CA308">
      <w:pPr>
        <w:pStyle w:val="2"/>
        <w:bidi w:val="0"/>
        <w:rPr>
          <w:rFonts w:hint="eastAsia"/>
        </w:rPr>
      </w:pPr>
      <w:r>
        <w:rPr>
          <w:rFonts w:hint="eastAsia"/>
        </w:rPr>
        <w:t>四、结果可视化</w:t>
      </w:r>
    </w:p>
    <w:p w14:paraId="33BA3706">
      <w:pPr>
        <w:rPr>
          <w:rFonts w:hint="eastAsia"/>
        </w:rPr>
      </w:pPr>
      <w:r>
        <w:rPr>
          <w:rFonts w:hint="eastAsia"/>
        </w:rPr>
        <w:t>4.1 30 条样本评分分布图</w:t>
      </w:r>
    </w:p>
    <w:p w14:paraId="52628D15">
      <w:pPr>
        <w:rPr>
          <w:rFonts w:hint="eastAsia"/>
        </w:rPr>
      </w:pPr>
      <w:r>
        <w:drawing>
          <wp:inline distT="0" distB="0" distL="114300" distR="114300">
            <wp:extent cx="5729605" cy="2359025"/>
            <wp:effectExtent l="0" t="0" r="4445" b="317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4A03">
      <w:pPr>
        <w:rPr>
          <w:rFonts w:hint="eastAsia"/>
        </w:rPr>
      </w:pPr>
      <w:r>
        <w:rPr>
          <w:rFonts w:hint="eastAsia"/>
          <w:lang w:val="en-US" w:eastAsia="zh-CN"/>
        </w:rPr>
        <w:t>柱状图 week6_score.png，展示每条样本的评分及平均分水平。</w:t>
      </w:r>
    </w:p>
    <w:p w14:paraId="088BE68F">
      <w:pPr>
        <w:rPr>
          <w:rFonts w:hint="eastAsia"/>
        </w:rPr>
      </w:pPr>
      <w:r>
        <w:rPr>
          <w:rFonts w:hint="eastAsia"/>
        </w:rPr>
        <w:t>横轴：30 条样本 ID</w:t>
      </w:r>
    </w:p>
    <w:p w14:paraId="2CF1D640">
      <w:pPr>
        <w:rPr>
          <w:rFonts w:hint="eastAsia"/>
        </w:rPr>
      </w:pPr>
      <w:r>
        <w:rPr>
          <w:rFonts w:hint="eastAsia"/>
        </w:rPr>
        <w:t>纵轴：评分（1–5 分）</w:t>
      </w:r>
    </w:p>
    <w:p w14:paraId="05A14317">
      <w:pPr>
        <w:rPr>
          <w:rFonts w:hint="eastAsia"/>
        </w:rPr>
      </w:pPr>
      <w:r>
        <w:rPr>
          <w:rFonts w:hint="eastAsia"/>
        </w:rPr>
        <w:t>附加：平均分水平参考线（红色虚线）</w:t>
      </w:r>
    </w:p>
    <w:p w14:paraId="69F9D635">
      <w:pPr>
        <w:rPr>
          <w:rFonts w:hint="eastAsia"/>
        </w:rPr>
      </w:pPr>
      <w:r>
        <w:rPr>
          <w:rFonts w:hint="eastAsia"/>
          <w:lang w:val="en-US" w:eastAsia="zh-CN"/>
        </w:rPr>
        <w:t>图表结论：</w:t>
      </w:r>
    </w:p>
    <w:p w14:paraId="5D12E7AC">
      <w:pPr>
        <w:rPr>
          <w:rFonts w:hint="eastAsia"/>
        </w:rPr>
      </w:pPr>
      <w:r>
        <w:rPr>
          <w:rFonts w:hint="eastAsia"/>
        </w:rPr>
        <w:t>多数样本评分集中在 4–5 分，量化结果稳定可靠；</w:t>
      </w:r>
    </w:p>
    <w:p w14:paraId="305526F7">
      <w:pPr>
        <w:rPr>
          <w:rFonts w:hint="eastAsia"/>
        </w:rPr>
      </w:pPr>
      <w:r>
        <w:rPr>
          <w:rFonts w:hint="eastAsia"/>
        </w:rPr>
        <w:t>少量 3 分样本存在轻微瑕疵，但整体仍在可接受范围内。</w:t>
      </w:r>
    </w:p>
    <w:p w14:paraId="61E5BA2C">
      <w:pPr>
        <w:rPr>
          <w:rFonts w:hint="eastAsia"/>
        </w:rPr>
      </w:pPr>
      <w:r>
        <w:rPr>
          <w:rFonts w:hint="eastAsia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D3247">
      <w:pPr>
        <w:pStyle w:val="2"/>
        <w:bidi w:val="0"/>
        <w:rPr>
          <w:rFonts w:hint="eastAsia"/>
        </w:rPr>
      </w:pPr>
      <w:r>
        <w:rPr>
          <w:rFonts w:hint="eastAsia"/>
        </w:rPr>
        <w:t>五、实验结论</w:t>
      </w:r>
    </w:p>
    <w:p w14:paraId="5C65B37F">
      <w:pPr>
        <w:rPr>
          <w:rFonts w:hint="eastAsia"/>
        </w:rPr>
      </w:pPr>
    </w:p>
    <w:p w14:paraId="5050C834">
      <w:pPr>
        <w:rPr>
          <w:rFonts w:hint="eastAsia"/>
        </w:rPr>
      </w:pPr>
      <w:r>
        <w:rPr>
          <w:rFonts w:hint="eastAsia"/>
          <w:lang w:val="en-US" w:eastAsia="zh-CN"/>
        </w:rPr>
        <w:t>量化标注质量可靠30 条样本的平均评分达 4.23 分，表明基于 BIO/MIDI 的量化标注在音乐合理性、旋律流畅度与音准自然度方面均表现良好，可满足后续模型训练与评估的需求。</w:t>
      </w:r>
    </w:p>
    <w:p w14:paraId="0B7EDE13">
      <w:pPr>
        <w:rPr>
          <w:rFonts w:hint="eastAsia"/>
        </w:rPr>
      </w:pPr>
    </w:p>
    <w:p w14:paraId="4F38BF05">
      <w:pPr>
        <w:rPr>
          <w:rFonts w:hint="eastAsia"/>
        </w:rPr>
      </w:pPr>
    </w:p>
    <w:p w14:paraId="43D6571A">
      <w:pPr>
        <w:rPr>
          <w:rFonts w:hint="eastAsia"/>
        </w:rPr>
      </w:pPr>
      <w:r>
        <w:rPr>
          <w:rFonts w:hint="eastAsia"/>
          <w:lang w:val="en-US" w:eastAsia="zh-CN"/>
        </w:rPr>
        <w:t>评分结果稳定方差较小（0.46），说明盲听评分一致性高，实验结果客观、可信。</w:t>
      </w:r>
    </w:p>
    <w:p w14:paraId="5937EAF4">
      <w:pPr>
        <w:rPr>
          <w:rFonts w:hint="eastAsia"/>
        </w:rPr>
      </w:pPr>
    </w:p>
    <w:p w14:paraId="79C34DCE">
      <w:pPr>
        <w:rPr>
          <w:rFonts w:hint="eastAsia"/>
        </w:rPr>
      </w:pPr>
    </w:p>
    <w:p w14:paraId="1EA1186E">
      <w:pPr>
        <w:rPr>
          <w:rFonts w:hint="eastAsia"/>
        </w:rPr>
      </w:pPr>
      <w:r>
        <w:rPr>
          <w:rFonts w:hint="eastAsia"/>
          <w:lang w:val="en-US" w:eastAsia="zh-CN"/>
        </w:rPr>
        <w:t>满足任务交付要求已完成 30 条样本的盲听评分、统计分析与可视化，交付物包括：</w:t>
      </w:r>
    </w:p>
    <w:p w14:paraId="1272F13F">
      <w:pPr>
        <w:rPr>
          <w:rFonts w:hint="eastAsia"/>
        </w:rPr>
      </w:pPr>
    </w:p>
    <w:p w14:paraId="3FC2A532">
      <w:pPr>
        <w:rPr>
          <w:rFonts w:hint="eastAsia"/>
        </w:rPr>
      </w:pPr>
      <w:r>
        <w:rPr>
          <w:rFonts w:hint="eastAsia"/>
        </w:rPr>
        <w:t>30 条样本评分表</w:t>
      </w:r>
    </w:p>
    <w:p w14:paraId="74A7709D">
      <w:pPr>
        <w:rPr>
          <w:rFonts w:hint="eastAsia"/>
        </w:rPr>
      </w:pPr>
      <w:r>
        <w:rPr>
          <w:rFonts w:hint="eastAsia"/>
        </w:rPr>
        <w:t>评分统计报告（文本文件）</w:t>
      </w:r>
    </w:p>
    <w:p w14:paraId="293BA30A">
      <w:pPr>
        <w:rPr>
          <w:rFonts w:hint="eastAsia"/>
        </w:rPr>
      </w:pPr>
      <w:r>
        <w:rPr>
          <w:rFonts w:hint="eastAsia"/>
        </w:rPr>
        <w:t>评分分布可视化图片（week6_score.png）</w:t>
      </w:r>
    </w:p>
    <w:p w14:paraId="70625F18">
      <w:pPr>
        <w:rPr>
          <w:rFonts w:hint="eastAsia"/>
        </w:rPr>
      </w:pPr>
      <w:r>
        <w:rPr>
          <w:rFonts w:hint="eastAsia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83B11">
      <w:pPr>
        <w:pStyle w:val="2"/>
        <w:bidi w:val="0"/>
        <w:rPr>
          <w:rFonts w:hint="eastAsia"/>
        </w:rPr>
      </w:pPr>
      <w:r>
        <w:rPr>
          <w:rFonts w:hint="eastAsia"/>
        </w:rPr>
        <w:t>六、交付物清单</w:t>
      </w:r>
    </w:p>
    <w:p w14:paraId="5F3650B1">
      <w:pPr>
        <w:rPr>
          <w:rFonts w:hint="eastAsia"/>
        </w:rPr>
      </w:pPr>
      <w:r>
        <w:rPr>
          <w:rFonts w:hint="eastAsia"/>
        </w:rPr>
        <w:t>30 条样本评分表</w:t>
      </w:r>
    </w:p>
    <w:p w14:paraId="5DFD666A">
      <w:pPr>
        <w:rPr>
          <w:rFonts w:hint="eastAsia"/>
        </w:rPr>
      </w:pPr>
      <w:r>
        <w:rPr>
          <w:rFonts w:hint="eastAsia"/>
        </w:rPr>
        <w:t>第 6 周主观评分报告（week6_report.txt / Markdown）</w:t>
      </w:r>
    </w:p>
    <w:p w14:paraId="49D3AA11">
      <w:pPr>
        <w:rPr>
          <w:rFonts w:hint="eastAsia"/>
        </w:rPr>
      </w:pPr>
      <w:r>
        <w:rPr>
          <w:rFonts w:hint="eastAsia"/>
        </w:rPr>
        <w:t>评分分布柱状图（week6_score.png）</w:t>
      </w:r>
    </w:p>
    <w:p w14:paraId="2FEC1872">
      <w:pPr>
        <w:rPr>
          <w:rFonts w:hint="eastAsia"/>
        </w:rPr>
      </w:pPr>
      <w:r>
        <w:rPr>
          <w:rFonts w:hint="eastAsia"/>
        </w:rPr>
        <w:t>统计指标结果：平均分、方差、标准差</w:t>
      </w:r>
      <w:bookmarkStart w:id="0" w:name="_GoBack"/>
      <w:bookmarkEnd w:id="0"/>
    </w:p>
    <w:p w14:paraId="5773824F">
      <w:pPr>
        <w:rPr>
          <w:rFonts w:hint="eastAsia"/>
        </w:rPr>
      </w:pPr>
      <w:r>
        <w:rPr>
          <w:rFonts w:hint="eastAsia"/>
        </w:rPr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E6C68">
      <w:pPr>
        <w:pStyle w:val="2"/>
        <w:bidi w:val="0"/>
        <w:rPr>
          <w:rFonts w:hint="eastAsia"/>
        </w:rPr>
      </w:pPr>
      <w:r>
        <w:rPr>
          <w:rFonts w:hint="eastAsia"/>
        </w:rPr>
        <w:t>七、后续工作计划</w:t>
      </w:r>
    </w:p>
    <w:p w14:paraId="565855DB">
      <w:pPr>
        <w:rPr>
          <w:rFonts w:hint="eastAsia"/>
        </w:rPr>
      </w:pPr>
      <w:r>
        <w:rPr>
          <w:rFonts w:hint="eastAsia"/>
          <w:lang w:val="en-US" w:eastAsia="zh-CN"/>
        </w:rPr>
        <w:t>基于本周完成的主观评分结果，后续将：</w:t>
      </w:r>
    </w:p>
    <w:p w14:paraId="5506CFE3">
      <w:pPr>
        <w:rPr>
          <w:rFonts w:hint="eastAsia"/>
        </w:rPr>
      </w:pPr>
      <w:r>
        <w:rPr>
          <w:rFonts w:hint="eastAsia"/>
        </w:rPr>
        <w:t>结合客观指标（如音准偏差、标签匹配度）进一步分析量化模型 / 标注的优劣；</w:t>
      </w:r>
    </w:p>
    <w:p w14:paraId="3BF70A39">
      <w:pPr>
        <w:rPr>
          <w:rFonts w:hint="eastAsia"/>
        </w:rPr>
      </w:pPr>
      <w:r>
        <w:rPr>
          <w:rFonts w:hint="eastAsia"/>
        </w:rPr>
        <w:t>优化 BIO 标注规则与 MIDI 生成策略，提升音乐合理性；</w:t>
      </w:r>
    </w:p>
    <w:p w14:paraId="4450F69A">
      <w:pPr>
        <w:rPr>
          <w:rFonts w:hint="eastAsia"/>
        </w:rPr>
      </w:pPr>
      <w:r>
        <w:rPr>
          <w:rFonts w:hint="eastAsia"/>
        </w:rPr>
        <w:t>为后续模型训练提供稳定、高质量的量化标注数据。</w:t>
      </w:r>
    </w:p>
    <w:p w14:paraId="1D60C571">
      <w:pPr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CF5"/>
    <w:rsid w:val="003B206A"/>
    <w:rsid w:val="00932CF5"/>
    <w:rsid w:val="00BE7A1C"/>
    <w:rsid w:val="00E131E5"/>
    <w:rsid w:val="00FD38C1"/>
    <w:rsid w:val="2D96289D"/>
    <w:rsid w:val="328824EF"/>
    <w:rsid w:val="482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1"/>
      <w:szCs w:val="21"/>
      <w:lang w:val="en-US" w:eastAsia="zh-CN" w:bidi="ar-SA"/>
    </w:rPr>
  </w:style>
  <w:style w:type="paragraph" w:styleId="2">
    <w:name w:val="heading 1"/>
    <w:qFormat/>
    <w:uiPriority w:val="9"/>
    <w:pPr>
      <w:spacing w:before="300" w:after="150"/>
      <w:outlineLvl w:val="0"/>
    </w:pPr>
    <w:rPr>
      <w:rFonts w:ascii="Arial" w:hAnsi="Arial" w:eastAsia="Arial" w:cs="Arial"/>
      <w:b/>
      <w:bCs/>
      <w:color w:val="2E5FA3"/>
      <w:sz w:val="28"/>
      <w:szCs w:val="28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20" w:after="100"/>
      <w:outlineLvl w:val="1"/>
    </w:pPr>
    <w:rPr>
      <w:rFonts w:ascii="Arial" w:hAnsi="Arial" w:eastAsia="Arial" w:cs="Arial"/>
      <w:b/>
      <w:bCs/>
      <w:color w:val="1A3A6B"/>
      <w:sz w:val="24"/>
      <w:szCs w:val="24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Arial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sz w:val="21"/>
      <w:szCs w:val="21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sz w:val="21"/>
      <w:szCs w:val="21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9">
    <w:name w:val="footnote text"/>
    <w:link w:val="21"/>
    <w:semiHidden/>
    <w:unhideWhenUsed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customStyle="1" w:styleId="19">
    <w:name w:val="要点1"/>
    <w:qFormat/>
    <w:uiPriority w:val="0"/>
    <w:rPr>
      <w:rFonts w:ascii="Arial" w:hAnsi="Arial" w:cs="Arial" w:eastAsiaTheme="minorEastAsia"/>
      <w:b/>
      <w:bCs/>
      <w:sz w:val="21"/>
      <w:szCs w:val="21"/>
      <w:lang w:val="en-US" w:eastAsia="zh-CN" w:bidi="ar-SA"/>
    </w:rPr>
  </w:style>
  <w:style w:type="paragraph" w:styleId="20">
    <w:name w:val="List Paragraph"/>
    <w:qFormat/>
    <w:uiPriority w:val="0"/>
    <w:rPr>
      <w:rFonts w:ascii="Arial" w:hAnsi="Arial" w:cs="Arial" w:eastAsiaTheme="minorEastAsia"/>
      <w:sz w:val="21"/>
      <w:szCs w:val="21"/>
      <w:lang w:val="en-US" w:eastAsia="zh-CN" w:bidi="ar-SA"/>
    </w:rPr>
  </w:style>
  <w:style w:type="character" w:customStyle="1" w:styleId="21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2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980</Words>
  <Characters>1372</Characters>
  <Lines>30</Lines>
  <Paragraphs>8</Paragraphs>
  <TotalTime>13</TotalTime>
  <ScaleCrop>false</ScaleCrop>
  <LinksUpToDate>false</LinksUpToDate>
  <CharactersWithSpaces>1469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2026-03-31T10:43:00Z</dcterms:created>
  <dc:creator>Un-named</dc:creator>
  <cp:lastModifiedBy>KULLA</cp:lastModifiedBy>
  <dcterms:modified xsi:type="dcterms:W3CDTF">2026-04-12T12:31:19Z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eyJoZGlkIjoiZTdmMDMyYTAwOGUyNDE1NDkzNWVmMTU1YWQwY2Q5NGQiLCJ1c2VySWQiOiI5Mzc1MDU0MjcifQ==</vt:lpwstr>
  </property>
  <property fmtid="{D5CDD505-2E9C-101B-9397-08002B2CF9AE}" pid="3" name="KSOProductBuildVer">
    <vt:lpwstr>2052-12.1.0.19302</vt:lpwstr>
  </property>
  <property fmtid="{D5CDD505-2E9C-101B-9397-08002B2CF9AE}" pid="4" name="ICV">
    <vt:lpwstr>ECEE703316484956ACFF5830EFA55F63_13</vt:lpwstr>
  </property>
</Properties>
</file>