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Autoevaluación Fase 1 (1.3) — propuesta de trabajo</w:t>
      </w:r>
    </w:p>
    <w:p>
      <w:r>
        <w:t>Proyecto: Acredittia Administración del Negocio</w:t>
      </w:r>
    </w:p>
    <w:p>
      <w:r>
        <w:t>Estudiante: Oscar Bustamante  |  Grupo documental: 4 (DADN_03, por confirmar)</w:t>
      </w:r>
    </w:p>
    <w:p>
      <w:r>
        <w:t>Área de participación: Suscripciones, facturación y pagos</w:t>
      </w:r>
    </w:p>
    <w:p>
      <w:r>
        <w:rPr>
          <w:b/>
        </w:rPr>
        <w:t xml:space="preserve">ESTADO: BORRADOR NO OFICIAL PARA REVISIÓN INDIVIDUAL. </w:t>
      </w:r>
      <w:r>
        <w:t>No se encontró la pauta 1.3 en AVA ni en los materiales revisados. Se usan exclusivamente los indicadores IL1.1–IL1.5 publicados en Información EA1. Los niveles, comentarios y respuestas son propuestas basadas en informes y diarios; no equivalen a la autoevaluación confirmada del estudiante.</w:t>
      </w:r>
    </w:p>
    <w:p>
      <w:pPr>
        <w:pStyle w:val="Heading1"/>
      </w:pPr>
      <w:r>
        <w:t>Matriz de autoevaluación propuesta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spacing w:after="60"/>
            </w:pPr>
            <w:r>
              <w:rPr>
                <w:rFonts w:ascii="Arial" w:hAnsi="Arial"/>
                <w:b/>
                <w:sz w:val="16"/>
              </w:rPr>
              <w:t>Indicador oficial</w:t>
            </w:r>
          </w:p>
        </w:tc>
        <w:tc>
          <w:tcPr>
            <w:tcW w:type="dxa" w:w="2520"/>
            <w:vAlign w:val="center"/>
          </w:tcPr>
          <w:p>
            <w:pPr>
              <w:spacing w:after="60"/>
            </w:pPr>
            <w:r>
              <w:rPr>
                <w:rFonts w:ascii="Arial" w:hAnsi="Arial"/>
                <w:b/>
                <w:sz w:val="16"/>
              </w:rPr>
              <w:t>Nivel propuesto</w:t>
            </w:r>
          </w:p>
        </w:tc>
        <w:tc>
          <w:tcPr>
            <w:tcW w:type="dxa" w:w="2520"/>
            <w:vAlign w:val="center"/>
          </w:tcPr>
          <w:p>
            <w:pPr>
              <w:spacing w:after="60"/>
            </w:pPr>
            <w:r>
              <w:rPr>
                <w:rFonts w:ascii="Arial" w:hAnsi="Arial"/>
                <w:b/>
                <w:sz w:val="16"/>
              </w:rPr>
              <w:t>Fundamentación individual para revisión</w:t>
            </w:r>
          </w:p>
        </w:tc>
        <w:tc>
          <w:tcPr>
            <w:tcW w:type="dxa" w:w="2520"/>
            <w:vAlign w:val="center"/>
          </w:tcPr>
          <w:p>
            <w:pPr>
              <w:spacing w:after="60"/>
            </w:pPr>
            <w:r>
              <w:rPr>
                <w:rFonts w:ascii="Arial" w:hAnsi="Arial"/>
                <w:b/>
                <w:sz w:val="16"/>
              </w:rPr>
              <w:t>Ajuste o mejora</w:t>
            </w:r>
          </w:p>
        </w:tc>
      </w:tr>
      <w:tr>
        <w:tc>
          <w:tcPr>
            <w:tcW w:type="dxa" w:w="2520"/>
            <w:vAlign w:val="center"/>
          </w:tcPr>
          <w:p>
            <w:pPr>
              <w:spacing w:after="60"/>
            </w:pPr>
            <w:r>
              <w:rPr>
                <w:rFonts w:ascii="Arial" w:hAnsi="Arial"/>
                <w:sz w:val="16"/>
              </w:rPr>
              <w:t>IL1.1</w:t>
              <w:br/>
              <w:t>Fundamenta el Proyecto APT considerando intereses profesionales, perfil de egreso, factibilidad y relevancia en el área de soluciones TI.</w:t>
            </w:r>
          </w:p>
        </w:tc>
        <w:tc>
          <w:tcPr>
            <w:tcW w:type="dxa" w:w="2520"/>
            <w:vAlign w:val="center"/>
          </w:tcPr>
          <w:p>
            <w:pPr>
              <w:spacing w:after="60"/>
            </w:pPr>
            <w:r>
              <w:rPr>
                <w:rFonts w:ascii="Arial" w:hAnsi="Arial"/>
                <w:sz w:val="16"/>
              </w:rPr>
              <w:t>L — propuesto; requiere validación</w:t>
            </w:r>
          </w:p>
        </w:tc>
        <w:tc>
          <w:tcPr>
            <w:tcW w:type="dxa" w:w="2520"/>
            <w:vAlign w:val="center"/>
          </w:tcPr>
          <w:p>
            <w:pPr>
              <w:spacing w:after="60"/>
            </w:pPr>
            <w:r>
              <w:rPr>
                <w:rFonts w:ascii="Arial" w:hAnsi="Arial"/>
                <w:sz w:val="16"/>
              </w:rPr>
              <w:t>El proyecto permite abordar problemas empresariales mediante un sistema SaaS y reglas de suscripción, cobro y morosidad. Estos requerimientos conectan desarrollo de software con la comprensión de necesidades operacionales.</w:t>
            </w:r>
          </w:p>
        </w:tc>
        <w:tc>
          <w:tcPr>
            <w:tcW w:type="dxa" w:w="2520"/>
            <w:vAlign w:val="center"/>
          </w:tcPr>
          <w:p>
            <w:pPr>
              <w:spacing w:after="60"/>
            </w:pPr>
            <w:r>
              <w:rPr>
                <w:rFonts w:ascii="Arial" w:hAnsi="Arial"/>
                <w:sz w:val="16"/>
              </w:rPr>
              <w:t>Contrastar con la guía 1.5, la autoevaluación 1.1 y los intereses del diario 1.2.</w:t>
            </w:r>
          </w:p>
        </w:tc>
      </w:tr>
      <w:tr>
        <w:tc>
          <w:tcPr>
            <w:tcW w:type="dxa" w:w="2520"/>
            <w:vAlign w:val="center"/>
          </w:tcPr>
          <w:p>
            <w:pPr>
              <w:spacing w:after="60"/>
            </w:pPr>
            <w:r>
              <w:rPr>
                <w:rFonts w:ascii="Arial" w:hAnsi="Arial"/>
                <w:sz w:val="16"/>
              </w:rPr>
              <w:t>IL1.2</w:t>
              <w:br/>
              <w:t>Establece objetivos y una metodología coherentes con la situación que aborda el proyecto.</w:t>
            </w:r>
          </w:p>
        </w:tc>
        <w:tc>
          <w:tcPr>
            <w:tcW w:type="dxa" w:w="2520"/>
            <w:vAlign w:val="center"/>
          </w:tcPr>
          <w:p>
            <w:pPr>
              <w:spacing w:after="60"/>
            </w:pPr>
            <w:r>
              <w:rPr>
                <w:rFonts w:ascii="Arial" w:hAnsi="Arial"/>
                <w:sz w:val="16"/>
              </w:rPr>
              <w:t>L — propuesto; requiere validación</w:t>
            </w:r>
          </w:p>
        </w:tc>
        <w:tc>
          <w:tcPr>
            <w:tcW w:type="dxa" w:w="2520"/>
            <w:vAlign w:val="center"/>
          </w:tcPr>
          <w:p>
            <w:pPr>
              <w:spacing w:after="60"/>
            </w:pPr>
            <w:r>
              <w:rPr>
                <w:rFonts w:ascii="Arial" w:hAnsi="Arial"/>
                <w:sz w:val="16"/>
              </w:rPr>
              <w:t xml:space="preserve">La planificación definió un módulo de suscripciones y pagos dependiente del modelo de datos y de la integración. La guía 1.5 ya anticipaba el riesgo de no obtener credenciales de una pasarela real y declaraba como mitigación un gateway simulado, que es lo que finalmente se usó. La mejora no está en declarar la restricción, que sí se declaró, sino en fijar desde la definición cómo se demostraría el objetivo de pagos bajo esa alternativa.</w:t>
            </w:r>
          </w:p>
        </w:tc>
        <w:tc>
          <w:tcPr>
            <w:tcW w:type="dxa" w:w="2520"/>
            <w:vAlign w:val="center"/>
          </w:tcPr>
          <w:p>
            <w:pPr>
              <w:spacing w:after="60"/>
            </w:pPr>
            <w:r>
              <w:rPr>
                <w:rFonts w:ascii="Arial" w:hAnsi="Arial"/>
                <w:sz w:val="16"/>
              </w:rPr>
              <w:t>Precisar objetivos y metodología a partir de la retroalimentación de Fase 1.</w:t>
            </w:r>
          </w:p>
        </w:tc>
      </w:tr>
      <w:tr>
        <w:tc>
          <w:tcPr>
            <w:tcW w:type="dxa" w:w="2520"/>
            <w:vAlign w:val="center"/>
          </w:tcPr>
          <w:p>
            <w:pPr>
              <w:spacing w:after="60"/>
            </w:pPr>
            <w:r>
              <w:rPr>
                <w:rFonts w:ascii="Arial" w:hAnsi="Arial"/>
                <w:sz w:val="16"/>
              </w:rPr>
              <w:t>IL1.3</w:t>
              <w:br/>
              <w:t>Establece plan de trabajo y evidencias acordes a objetivos, recursos, tiempos y periodo académico.</w:t>
            </w:r>
          </w:p>
        </w:tc>
        <w:tc>
          <w:tcPr>
            <w:tcW w:type="dxa" w:w="2520"/>
            <w:vAlign w:val="center"/>
          </w:tcPr>
          <w:p>
            <w:pPr>
              <w:spacing w:after="60"/>
            </w:pPr>
            <w:r>
              <w:rPr>
                <w:rFonts w:ascii="Arial" w:hAnsi="Arial"/>
                <w:sz w:val="16"/>
              </w:rPr>
              <w:t>L — propuesto; requiere validación</w:t>
            </w:r>
          </w:p>
        </w:tc>
        <w:tc>
          <w:tcPr>
            <w:tcW w:type="dxa" w:w="2520"/>
            <w:vAlign w:val="center"/>
          </w:tcPr>
          <w:p>
            <w:pPr>
              <w:spacing w:after="60"/>
            </w:pPr>
            <w:r>
              <w:rPr>
                <w:rFonts w:ascii="Arial" w:hAnsi="Arial"/>
                <w:sz w:val="16"/>
              </w:rPr>
              <w:t>El plan separó las actividades de suscripciones, cobranza, facturación y portal, con responsables y hitos. Para mejorar, habría que especificar la evidencia esperada por funcionalidad y el tratamiento de dependencias externas.</w:t>
            </w:r>
          </w:p>
        </w:tc>
        <w:tc>
          <w:tcPr>
            <w:tcW w:type="dxa" w:w="2520"/>
            <w:vAlign w:val="center"/>
          </w:tcPr>
          <w:p>
            <w:pPr>
              <w:spacing w:after="60"/>
            </w:pPr>
            <w:r>
              <w:rPr>
                <w:rFonts w:ascii="Arial" w:hAnsi="Arial"/>
                <w:sz w:val="16"/>
              </w:rPr>
              <w:t>Respaldar responsables, fechas y entregables con Gantt y evidencias.</w:t>
            </w:r>
          </w:p>
        </w:tc>
      </w:tr>
      <w:tr>
        <w:tc>
          <w:tcPr>
            <w:tcW w:type="dxa" w:w="2520"/>
            <w:vAlign w:val="center"/>
          </w:tcPr>
          <w:p>
            <w:pPr>
              <w:spacing w:after="60"/>
            </w:pPr>
            <w:r>
              <w:rPr>
                <w:rFonts w:ascii="Arial" w:hAnsi="Arial"/>
                <w:sz w:val="16"/>
              </w:rPr>
              <w:t>IL1.4</w:t>
              <w:br/>
              <w:t>Cumple con los aspectos formales del diseño del Proyecto APT.</w:t>
            </w:r>
          </w:p>
        </w:tc>
        <w:tc>
          <w:tcPr>
            <w:tcW w:type="dxa" w:w="2520"/>
            <w:vAlign w:val="center"/>
          </w:tcPr>
          <w:p>
            <w:pPr>
              <w:spacing w:after="60"/>
            </w:pPr>
            <w:r>
              <w:rPr>
                <w:rFonts w:ascii="Arial" w:hAnsi="Arial"/>
                <w:sz w:val="16"/>
              </w:rPr>
              <w:t>L — propuesto; requiere validación</w:t>
            </w:r>
          </w:p>
        </w:tc>
        <w:tc>
          <w:tcPr>
            <w:tcW w:type="dxa" w:w="2520"/>
            <w:vAlign w:val="center"/>
          </w:tcPr>
          <w:p>
            <w:pPr>
              <w:spacing w:after="60"/>
            </w:pPr>
            <w:r>
              <w:rPr>
                <w:rFonts w:ascii="Arial" w:hAnsi="Arial"/>
                <w:sz w:val="16"/>
              </w:rPr>
              <w:t>El equipo contó con documentos grupales de definición y una presentación. Los ajustes posteriores a la revisión docente señalan que conviene fortalecer el formato, la precisión de objetivos y las referencias.</w:t>
            </w:r>
          </w:p>
        </w:tc>
        <w:tc>
          <w:tcPr>
            <w:tcW w:type="dxa" w:w="2520"/>
            <w:vAlign w:val="center"/>
          </w:tcPr>
          <w:p>
            <w:pPr>
              <w:spacing w:after="60"/>
            </w:pPr>
            <w:r>
              <w:rPr>
                <w:rFonts w:ascii="Arial" w:hAnsi="Arial"/>
                <w:sz w:val="16"/>
              </w:rPr>
              <w:t>Confirmar presentación, citación y estructura de la versión que se entregó.</w:t>
            </w:r>
          </w:p>
        </w:tc>
      </w:tr>
      <w:tr>
        <w:tc>
          <w:tcPr>
            <w:tcW w:type="dxa" w:w="2520"/>
            <w:vAlign w:val="center"/>
          </w:tcPr>
          <w:p>
            <w:pPr>
              <w:spacing w:after="60"/>
            </w:pPr>
            <w:r>
              <w:rPr>
                <w:rFonts w:ascii="Arial" w:hAnsi="Arial"/>
                <w:sz w:val="16"/>
              </w:rPr>
              <w:t>IL1.5</w:t>
              <w:br/>
              <w:t>Cumple los estándares e indicadores de calidad del diseño del Proyecto APT definidos por la disciplina.</w:t>
            </w:r>
          </w:p>
        </w:tc>
        <w:tc>
          <w:tcPr>
            <w:tcW w:type="dxa" w:w="2520"/>
            <w:vAlign w:val="center"/>
          </w:tcPr>
          <w:p>
            <w:pPr>
              <w:spacing w:after="60"/>
            </w:pPr>
            <w:r>
              <w:rPr>
                <w:rFonts w:ascii="Arial" w:hAnsi="Arial"/>
                <w:sz w:val="16"/>
              </w:rPr>
              <w:t>L — propuesto; requiere validación</w:t>
            </w:r>
          </w:p>
        </w:tc>
        <w:tc>
          <w:tcPr>
            <w:tcW w:type="dxa" w:w="2520"/>
            <w:vAlign w:val="center"/>
          </w:tcPr>
          <w:p>
            <w:pPr>
              <w:spacing w:after="60"/>
            </w:pPr>
            <w:r>
              <w:rPr>
                <w:rFonts w:ascii="Arial" w:hAnsi="Arial"/>
                <w:sz w:val="16"/>
              </w:rPr>
              <w:t>La solución incorporó escenarios de pago, facturación y estados de suscripción. Como mejora del diseño, cada regla de negocio debería asociarse a pruebas y demostraciones reproducibles, distinguiendo integración simulada y real.</w:t>
            </w:r>
          </w:p>
        </w:tc>
        <w:tc>
          <w:tcPr>
            <w:tcW w:type="dxa" w:w="2520"/>
            <w:vAlign w:val="center"/>
          </w:tcPr>
          <w:p>
            <w:pPr>
              <w:spacing w:after="60"/>
            </w:pPr>
            <w:r>
              <w:rPr>
                <w:rFonts w:ascii="Arial" w:hAnsi="Arial"/>
                <w:sz w:val="16"/>
              </w:rPr>
              <w:t>Vincular evidencias técnicas con criterios de calidad y aceptación.</w:t>
            </w:r>
          </w:p>
        </w:tc>
      </w:tr>
    </w:tbl>
    <w:p>
      <w:pPr>
        <w:pStyle w:val="Heading1"/>
      </w:pPr>
      <w:r>
        <w:t>Síntesis personal propuesta</w:t>
      </w:r>
    </w:p>
    <w:p>
      <w:r>
        <w:t xml:space="preserve">Fortaleza documentada: en mi autoevaluación de competencias 1.1 me asigné Excelente Dominio en Modelos de Datos y Alto Dominio en Pruebas de Certificación y en Desarrollo de Software. En la definición de Fase 1 asumí el módulo de suscripciones y pagos, según la guía 1.5 y el informe grupal de Fase 1.</w:t>
      </w:r>
    </w:p>
    <w:p>
      <w:r>
        <w:t xml:space="preserve">Oportunidad de mejora: en la 1.1 me asigné Dominio Aceptable en Gestión de Proyectos, y en el diario 1.2 señalé que debo fortalecer el desarrollo Full Stack, JavaScript y la arquitectura de software. Aplicado a la definición del proyecto, esto se traduce en asociar cada regla de negocio a una prueba reproducible.</w:t>
      </w:r>
    </w:p>
    <w:p>
      <w:pPr>
        <w:pStyle w:val="Heading1"/>
      </w:pPr>
      <w:r>
        <w:t>Validación necesaria</w:t>
      </w:r>
    </w:p>
    <w:p>
      <w:pPr>
        <w:pStyle w:val="ListBullet"/>
      </w:pPr>
      <w:r>
        <w:t>Confirmar con la pauta 1.3 de Claudia si este archivo corresponde realmente a la actividad requerida.</w:t>
      </w:r>
    </w:p>
    <w:p>
      <w:pPr>
        <w:pStyle w:val="ListBullet"/>
      </w:pPr>
      <w:r>
        <w:t>Revisar el nivel propuesto en cada indicador según la experiencia y la autoevaluación individual.</w:t>
      </w:r>
    </w:p>
    <w:p>
      <w:pPr>
        <w:pStyle w:val="ListBullet"/>
      </w:pPr>
      <w:r>
        <w:t>Contrastar los comentarios con las respuestas originales de las pautas 1.1 y 1.2 de Fase 1.</w:t>
      </w:r>
    </w:p>
    <w:p>
      <w:r>
        <w:t>Fuentes de referencia: Información EA1 (RA1 e IL1.1–IL1.5); Guía 1.5 e informe de Fase 1 citados por el proyecto; diarios 2.1 y el informe de avance de Fase 2. No se atribuye una nota oficial.</w:t>
      </w:r>
    </w:p>
    <w:sectPr w:rsidR="00FC693F" w:rsidRPr="0006063C" w:rsidSect="00034616">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