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Informe de avances — Hito 1 (MVP)</w:t>
      </w:r>
    </w:p>
    <w:p>
      <w:pPr>
        <w:pBdr>
          <w:bottom w:val="single" w:color="1F4E79" w:sz="8" w:space="6"/>
        </w:pBdr>
        <w:spacing w:after="240"/>
      </w:pPr>
      <w:r>
        <w:rPr>
          <w:color w:val="404040"/>
          <w:sz w:val="28"/>
          <w:szCs w:val="28"/>
        </w:rPr>
        <w:t xml:space="preserve">Acredittia Administración del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Dato</w:t>
            </w:r>
          </w:p>
        </w:tc>
        <w:tc>
          <w:tcPr>
            <w:tcW w:type="dxa" w:w="7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Detalle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Equipo</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DADN_03 (Duoc UC)</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Proyecto</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Acredittia Administración del negocio (backoffice)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Hito</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Hito 1: MVP funcional con base de datos operativa</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Fecha de entrega</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15 de octubre de 2026</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Contraparte del cliente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Gonzalo Vera (Acredittia)</w:t>
            </w:r>
          </w:p>
        </w:tc>
      </w:tr>
    </w:tbl>
    <w:p>
      <w:pPr>
        <w:pStyle w:val="Heading1"/>
        <w:spacing w:after="140" w:before="320"/>
      </w:pPr>
      <w:r>
        <w:t xml:space="preserve">1. Resumen</w:t>
      </w:r>
    </w:p>
    <w:p>
      <w:pPr>
        <w:spacing w:after="120"/>
      </w:pPr>
      <w:r>
        <w:rPr>
          <w:sz w:val="21"/>
          <w:szCs w:val="21"/>
        </w:rPr>
        <w:t xml:space="preserve">Se entrega un MVP funcional compuesto por dos aplicaciones que operan sobre la misma plataforma y la misma base de datos: el Portal del Cliente, que usan las empresas contratistas, y la Consola de Administración, que usa el equipo interno de Acredittia.</w:t>
      </w:r>
    </w:p>
    <w:p>
      <w:pPr>
        <w:spacing w:after="120"/>
      </w:pPr>
      <w:r>
        <w:rPr>
          <w:sz w:val="21"/>
          <w:szCs w:val="21"/>
        </w:rPr>
        <w:t xml:space="preserve">El MVP cubre los ocho requerimientos definidos por Gonzalo Vera para la consola de administración: cinco de forma completa y tres de forma parcial. En el portal cubre el inicio de sesión, el flujo de pagos y el control de morosidad. El flujo de pagos opera contra una pasarela simulada; la integración con una pasarela real queda como brecha declarada en la sección 4.</w:t>
      </w:r>
    </w:p>
    <w:p>
      <w:pPr>
        <w:spacing w:after="120"/>
      </w:pPr>
      <w:r>
        <w:rPr>
          <w:sz w:val="21"/>
          <w:szCs w:val="21"/>
        </w:rPr>
        <w:t xml:space="preserve">El producto está desplegado y accesible por internet mediante un túnel Ngrok sobre el entorno Docker del equipo. La base de datos PostgreSQL está operativa, con datos de demostración que representan todos los estados comerciales de un cliente.</w:t>
      </w:r>
    </w:p>
    <w:p>
      <w:pPr>
        <w:pStyle w:val="Heading1"/>
        <w:spacing w:after="140" w:before="320"/>
      </w:pPr>
      <w:r>
        <w:t xml:space="preserve">2. Elementos entregados</w:t>
      </w:r>
    </w:p>
    <w:p>
      <w:pPr>
        <w:pStyle w:val="Heading2"/>
        <w:spacing w:after="100" w:before="220"/>
      </w:pPr>
      <w:r>
        <w:t xml:space="preserve">2.1 Portal del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Elemento</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Descripción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Inicio de sesión</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Autenticación con correo y contraseña. Una empresa nueva queda pendiente hasta que un administrador la aprueba.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Suscripción</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Pantalla con el plan contratado, el estado de la suscripción, los días de prueba restantes, el catálogo de planes y el historial de facturas. Permite contratar, cambiar de plan y cancelar.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Sistema de pagos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Pago de facturas desde el portal contra una pasarela simulada, que aprueba o rechaza el pago. La conciliación usa el mismo proceso que usará la pasarela real.</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Control de morosidad</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Una factura impaga al término del periodo deja la suscripción morosa. Tras 7 días de gracia la cuenta queda en solo lectura: la empresa consulta su información, pero no puede modificarla. El pago reactiva la cuenta de inmediato.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Aviso de morosidad</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Mensaje visible en todas las pantallas del portal cuando la cuenta está morosa o en solo lectura, con acceso directo al pago.</w:t>
            </w:r>
          </w:p>
        </w:tc>
      </w:tr>
    </w:tbl>
    <w:p>
      <w:pPr>
        <w:pStyle w:val="Heading2"/>
        <w:spacing w:after="100" w:before="220"/>
      </w:pPr>
      <w:r>
        <w:t xml:space="preserve">2.2 Consola de Administración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Vista</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Descripción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Resumen global</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Número de empresas, contratos, trabajadores y usuarios; porcentaje de acreditación global; documentos vigentes, pendientes, vencidos y por vencer; crecimiento y actividad por mes.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Empresas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Listado de empresas con su estado, contratos y nivel de acreditación. Aprobación y rechazo de solicitudes de registro; al aprobar se activa el periodo de prueba de 30 días.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Suscripciones y pagos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Suscripciones de todas las empresas con su estado, acceso y deuda; catálogo de planes; ejecución del ciclo de cobro.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Salud de clientes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Empresas con acreditación baja, documentos vencidos, sin actividad o con suscripción morosa, y contratos con muchos documentos pendientes.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Usuarios y roles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Usuarios de todas las empresas con su rol, alcance (empresa o contrato) y último acceso.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Auditoría</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Registro de actividad de toda la plataforma: quién hizo qué y cuándo, con filtros por módulo, fecha y texto.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Buscador global</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Búsqueda de empresas, contratos, trabajadores y usuarios. El RUT de los trabajadores se muestra enmascarado.</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Usuarios por plan</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Usuarios totales y activos, distribución por plan e industria, y actividad mensual por cliente.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Sistemas y procesos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Estado de los componentes de la plataforma, disponibilidad, incidentes y procesos programados.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Indicadores</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Ingreso recurrente mensual (MRR), flujo de clientes y tasa de abandono.</w:t>
            </w:r>
          </w:p>
        </w:tc>
      </w:tr>
    </w:tbl>
    <w:p>
      <w:pPr>
        <w:pStyle w:val="Heading2"/>
        <w:spacing w:after="100" w:before="220"/>
      </w:pPr>
      <w:r>
        <w:t xml:space="preserve">2.3 Componentes técnicos</w:t>
      </w:r>
    </w:p>
    <w:p>
      <w:pPr>
        <w:pStyle w:val="ListParagraph"/>
        <w:numPr>
          <w:ilvl w:val="0"/>
          <w:numId w:val="2"/>
        </w:numPr>
        <w:spacing w:after="60"/>
      </w:pPr>
      <w:r>
        <w:rPr>
          <w:sz w:val="21"/>
          <w:szCs w:val="21"/>
        </w:rPr>
        <w:t xml:space="preserve">Consola Interna integrada a la plataforma: esquema de base de datos en versión 7, con 20 endpoints bajo /admin/ops.</w:t>
      </w:r>
    </w:p>
    <w:p>
      <w:pPr>
        <w:pStyle w:val="ListParagraph"/>
        <w:numPr>
          <w:ilvl w:val="0"/>
          <w:numId w:val="2"/>
        </w:numPr>
        <w:spacing w:after="60"/>
      </w:pPr>
      <w:r>
        <w:rPr>
          <w:sz w:val="21"/>
          <w:szCs w:val="21"/>
        </w:rPr>
        <w:t xml:space="preserve">Ciclo de cobro: emisión de facturas, renovación de periodos y paso a morosidad, ejecutado cada noche.</w:t>
      </w:r>
    </w:p>
    <w:p>
      <w:pPr>
        <w:pStyle w:val="ListParagraph"/>
        <w:numPr>
          <w:ilvl w:val="0"/>
          <w:numId w:val="2"/>
        </w:numPr>
        <w:spacing w:after="60"/>
      </w:pPr>
      <w:r>
        <w:rPr>
          <w:sz w:val="21"/>
          <w:szCs w:val="21"/>
        </w:rPr>
        <w:t xml:space="preserve">Cinco endpoints nuevos de administración: resumen global, usuarios, auditoría, salud de clientes y buscador.</w:t>
      </w:r>
    </w:p>
    <w:p>
      <w:pPr>
        <w:pStyle w:val="ListParagraph"/>
        <w:numPr>
          <w:ilvl w:val="0"/>
          <w:numId w:val="2"/>
        </w:numPr>
        <w:spacing w:after="60"/>
      </w:pPr>
      <w:r>
        <w:rPr>
          <w:sz w:val="21"/>
          <w:szCs w:val="21"/>
        </w:rPr>
        <w:t xml:space="preserve">Entorno completo en Docker (base de datos, caché, migración, API, worker, planificador y web).</w:t>
      </w:r>
    </w:p>
    <w:p>
      <w:pPr>
        <w:pStyle w:val="ListParagraph"/>
        <w:numPr>
          <w:ilvl w:val="0"/>
          <w:numId w:val="2"/>
        </w:numPr>
        <w:spacing w:after="60"/>
      </w:pPr>
      <w:r>
        <w:rPr>
          <w:sz w:val="21"/>
          <w:szCs w:val="21"/>
        </w:rPr>
        <w:t xml:space="preserve">Suite de 313 pruebas automáticas, todas aprobadas: 274 de la plataforma base y 39 de los módulos de este proyecto.</w:t>
      </w:r>
    </w:p>
    <w:p>
      <w:pPr>
        <w:pStyle w:val="Heading1"/>
        <w:spacing w:after="140" w:before="320"/>
      </w:pPr>
      <w:r>
        <w:t xml:space="preserve">3. Acceso al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Aplicación</w:t>
            </w:r>
          </w:p>
        </w:tc>
        <w:tc>
          <w:tcPr>
            <w:tcW w:type="dxa" w:w="6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Dirección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Portal del Cliente</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https://squall-basics-splendor.ngrok-free.dev/login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Consola de Administración</w:t>
            </w:r>
          </w:p>
        </w:tc>
        <w:tc>
          <w:tcPr>
            <w:tcW w:type="dxa" w:w="6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https://squall-basics-splendor.ngrok-free.dev/ops/login</w:t>
            </w:r>
          </w:p>
        </w:tc>
      </w:tr>
    </w:tbl>
    <w:p>
      <w:pPr>
        <w:spacing w:after="120"/>
      </w:pPr>
    </w:p>
    <w:p>
      <w:pPr>
        <w:spacing w:after="120"/>
      </w:pPr>
      <w:r>
        <w:rPr>
          <w:sz w:val="21"/>
          <w:szCs w:val="21"/>
        </w:rPr>
        <w:t xml:space="preserve">La primera vez que se ingresa, Ngrok muestra una página de aviso; se continúa con el botón “Visit Site”. El enlace está disponible mientras el equipo mantiene el entorno encendido, por lo que las pruebas se coordinan por el grupo de WhatsApp. Las contraseñas se informan por ese mismo medio.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6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Cuenta de prueba</w:t>
            </w:r>
          </w:p>
        </w:tc>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Aplicación</w:t>
            </w:r>
          </w:p>
        </w:tc>
        <w:tc>
          <w:tcPr>
            <w:tcW w:type="dxa" w:w="36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Qué permite ver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admin@acredittia.cl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Consola</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Todas las vistas de administración</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contacto@tcordillera.cl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Portal</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 con suscripción activa y al día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oficina@ingpelambres.cl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Portal</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 morosa dentro del plazo de gracia</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contacto@maestranzaandes.cl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Portal</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 en solo lectura, con factura por pagar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demo@acredittia.cl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Portal</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 en periodo de prueba</w:t>
            </w:r>
          </w:p>
        </w:tc>
      </w:tr>
    </w:tbl>
    <w:p>
      <w:pPr>
        <w:pStyle w:val="Heading1"/>
        <w:spacing w:after="140" w:before="320"/>
      </w:pPr>
      <w:r>
        <w:t xml:space="preserve">4. Análisis de brechas</w:t>
      </w:r>
    </w:p>
    <w:p>
      <w:pPr>
        <w:pStyle w:val="Heading2"/>
        <w:spacing w:after="100" w:before="220"/>
      </w:pPr>
      <w:r>
        <w:t xml:space="preserve">4.1 Requerimientos de Gonzalo Vera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100"/>
        <w:gridCol w:w="2700"/>
        <w:gridCol w:w="2500"/>
        <w:gridCol w:w="1288"/>
      </w:tblGrid>
      <w:tr>
        <w:trPr>
          <w:tblHeader/>
        </w:trPr>
        <w:tc>
          <w:tcPr>
            <w:tcW w:type="dxa" w:w="20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Requerimiento</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Estado</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Qué está operativo</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Qué falta</w:t>
            </w:r>
          </w:p>
        </w:tc>
        <w:tc>
          <w:tcPr>
            <w:tcW w:type="dxa" w:w="128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Fecha proyectada</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1. Dashboard global</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Empresas, contratos, trabajadores, usuarios, acreditación global, documentos pendientes y vencidos, actividad y crecimiento.</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Entregado</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2. Gestión global de empresas</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Listado, estado, contratos, trabajadores, nivel de uso y última actividad. Aprobación y rechazo.</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Entregado</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3. Buscador global</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 contrato, trabajador y usuario, con RUT enmascarado y sin búsqueda en documentos.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Entregado</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4. Métricas SaaS</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Empresas y usuarios activos, evolución mensual, clientes con baja actividad.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Sesiones y tiempo de uso: la plataforma hoy no los registra.</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06-11-2026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5. Alertas y salud de clientes</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Baja acreditación, contratos con pendientes, documentos vencidos, clientes sin actividad, problemas operacionales.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Entregado</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6. Usuarios, roles y permisos</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Consulta de usuarios, roles, alcance por empresa o contrato y último acceso.</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Crear, desactivar y cambiar el rol de un usuario desde la consola.</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30-10-2026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7. Auditoría y trazabilidad</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Quién creó o modificó cada registro, en toda la plataforma, incluidas las acciones de la consola.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Registro de ingresos, descargas y accesos a información sensible.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06-11-2026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8. Seguridad y aislamiento de datos</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Aislamiento por empresa a nivel de base de datos, acceso por roles, pruebas automáticas de aislamiento. Las vistas globales no exponen RUT ni documentos.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Justificación obligatoria al acceder a datos de una empresa.</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13-11-2026</w:t>
            </w:r>
          </w:p>
        </w:tc>
      </w:tr>
    </w:tbl>
    <w:p>
      <w:pPr>
        <w:pStyle w:val="Heading2"/>
        <w:spacing w:after="100" w:before="220"/>
      </w:pPr>
      <w:r>
        <w:t xml:space="preserve">4.2 Portal del Cliente y componentes de la ficha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100"/>
        <w:gridCol w:w="2700"/>
        <w:gridCol w:w="2500"/>
        <w:gridCol w:w="1288"/>
      </w:tblGrid>
      <w:tr>
        <w:trPr>
          <w:tblHeader/>
        </w:trPr>
        <w:tc>
          <w:tcPr>
            <w:tcW w:type="dxa" w:w="20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Elemento</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Estado</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Qué está operativo</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Qué falta</w:t>
            </w:r>
          </w:p>
        </w:tc>
        <w:tc>
          <w:tcPr>
            <w:tcW w:type="dxa" w:w="128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Fecha proyectada</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Inicio de sesión</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Autenticación y aprobación de cuentas.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Entregado</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Sistema de pagos</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Flujo completo de factura, pago, conciliación y reactivación, con pasarela simulada.</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Integración con pasarela real (Transbank o Stripe). Requiere credenciales de comercio.</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13-11-2026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Control de morosidad</w:t>
            </w:r>
          </w:p>
        </w:tc>
        <w:tc>
          <w:tcPr>
            <w:tcW w:type="dxa" w:w="1100"/>
            <w:tcBorders>
              <w:top w:val="single" w:color="BFBFBF" w:sz="4"/>
              <w:left w:val="single" w:color="BFBFBF" w:sz="4"/>
              <w:bottom w:val="single" w:color="BFBFBF" w:sz="4"/>
              <w:right w:val="single" w:color="BFBFBF" w:sz="4"/>
            </w:tcBorders>
            <w:shd w:fill="E2EFDA" w:color="auto" w:val="clear"/>
            <w:tcMar>
              <w:top w:type="dxa" w:w="70"/>
              <w:left w:type="dxa" w:w="100"/>
              <w:bottom w:type="dxa" w:w="70"/>
              <w:right w:type="dxa" w:w="100"/>
            </w:tcMar>
          </w:tcPr>
          <w:p>
            <w:pPr>
              <w:spacing w:after="30"/>
            </w:pPr>
            <w:r>
              <w:rPr>
                <w:b w:val="false"/>
                <w:bCs w:val="false"/>
                <w:sz w:val="18"/>
                <w:szCs w:val="18"/>
              </w:rPr>
              <w:t xml:space="preserve">Completo</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Paso a morosa, plazo de gracia, solo lectura y reactivación al pagar.</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Entregado</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Facturación</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Emisión automática y listado de facturas.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Documento PDF de cada factura.</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06-11-2026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Notificación por correo</w:t>
            </w:r>
          </w:p>
        </w:tc>
        <w:tc>
          <w:tcPr>
            <w:tcW w:type="dxa" w:w="1100"/>
            <w:tcBorders>
              <w:top w:val="single" w:color="BFBFBF" w:sz="4"/>
              <w:left w:val="single" w:color="BFBFBF" w:sz="4"/>
              <w:bottom w:val="single" w:color="BFBFBF" w:sz="4"/>
              <w:right w:val="single" w:color="BFBFBF" w:sz="4"/>
            </w:tcBorders>
            <w:shd w:fill="FCE4D6" w:color="auto" w:val="clear"/>
            <w:tcMar>
              <w:top w:type="dxa" w:w="70"/>
              <w:left w:type="dxa" w:w="100"/>
              <w:bottom w:type="dxa" w:w="70"/>
              <w:right w:type="dxa" w:w="100"/>
            </w:tcMar>
          </w:tcPr>
          <w:p>
            <w:pPr>
              <w:spacing w:after="30"/>
            </w:pPr>
            <w:r>
              <w:rPr>
                <w:b w:val="false"/>
                <w:bCs w:val="false"/>
                <w:sz w:val="18"/>
                <w:szCs w:val="18"/>
              </w:rPr>
              <w:t xml:space="preserve">Pendiente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Correo a la empresa al aprobar o rechazar su registro.</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30-10-2026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Gestión de planes</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Catálogo visible en la consola; alta y edición disponibles en la API.</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Pantalla para crear y editar planes.</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23-10-2026</w:t>
            </w:r>
          </w:p>
        </w:tc>
      </w:tr>
      <w:tr>
        <w:trPr>
          <w:cantSplit/>
        </w:trPr>
        <w:tc>
          <w:tcPr>
            <w:tcW w:type="dxa" w:w="20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Catálogos globales</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30"/>
            </w:pPr>
            <w:r>
              <w:rPr>
                <w:b w:val="false"/>
                <w:bCs w:val="false"/>
                <w:sz w:val="18"/>
                <w:szCs w:val="18"/>
              </w:rPr>
              <w:t xml:space="preserve">Parcial</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Endpoints de faenas, plataformas, plantillas y cargos operativos.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Pantallas de administración de faenas, plataformas, plantillas y cargos en la consola.</w:t>
            </w:r>
          </w:p>
        </w:tc>
        <w:tc>
          <w:tcPr>
            <w:tcW w:type="dxa" w:w="128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13-11-2026</w:t>
            </w:r>
          </w:p>
        </w:tc>
      </w:tr>
    </w:tbl>
    <w:p>
      <w:pPr>
        <w:spacing w:after="120"/>
      </w:pPr>
    </w:p>
    <w:p>
      <w:pPr>
        <w:spacing w:after="120"/>
      </w:pPr>
      <w:r>
        <w:rPr>
          <w:sz w:val="21"/>
          <w:szCs w:val="21"/>
        </w:rPr>
        <w:t xml:space="preserve">Las fechas proyectadas son estimaciones del equipo y se revisarán en las reuniones de seguimiento. La integración con la pasarela real depende de contar con credenciales de prueba.</w:t>
      </w:r>
    </w:p>
    <w:p>
      <w:pPr>
        <w:pStyle w:val="Heading1"/>
        <w:spacing w:after="140" w:before="320"/>
      </w:pPr>
      <w:r>
        <w:t xml:space="preserve">5. Cambios en componentes compartidos</w:t>
      </w:r>
    </w:p>
    <w:p>
      <w:pPr>
        <w:spacing w:after="120"/>
      </w:pPr>
      <w:r>
        <w:rPr>
          <w:sz w:val="21"/>
          <w:szCs w:val="21"/>
        </w:rPr>
        <w:t xml:space="preserve">El proyecto se desarrolla dentro de la misma plataforma que usa el producto de las contratistas. Siguiendo la indicación de modificar esa parte lo menos posible, los cambios se concentran en archivos propios del módulo de administración. Los siguientes puntos tocan componentes compartidos y se informan para su revisión:</w:t>
      </w:r>
    </w:p>
    <w:p>
      <w:pPr>
        <w:pStyle w:val="ListParagraph"/>
        <w:numPr>
          <w:ilvl w:val="0"/>
          <w:numId w:val="2"/>
        </w:numPr>
        <w:spacing w:after="60"/>
      </w:pPr>
      <w:r>
        <w:rPr>
          <w:sz w:val="21"/>
          <w:szCs w:val="21"/>
        </w:rPr>
        <w:t xml:space="preserve">El script de base de datos 07, incluido en el módulo de Consola Interna entregado al equipo, agrega la columna “industria” a la tabla de empresas y permite registros de actividad sin empresa asociada.</w:t>
      </w:r>
    </w:p>
    <w:p>
      <w:pPr>
        <w:pStyle w:val="ListParagraph"/>
        <w:numPr>
          <w:ilvl w:val="0"/>
          <w:numId w:val="2"/>
        </w:numPr>
        <w:spacing w:after="60"/>
      </w:pPr>
      <w:r>
        <w:rPr>
          <w:sz w:val="21"/>
          <w:szCs w:val="21"/>
        </w:rPr>
        <w:t xml:space="preserve">El control de morosidad se aplica en la autenticación de la plataforma: una empresa en solo lectura recibe un rechazo en cualquier operación de escritura. El control está aislado en un módulo propio y se puede desactivar por configuración.</w:t>
      </w:r>
    </w:p>
    <w:p>
      <w:pPr>
        <w:pStyle w:val="ListParagraph"/>
        <w:numPr>
          <w:ilvl w:val="0"/>
          <w:numId w:val="2"/>
        </w:numPr>
        <w:spacing w:after="60"/>
      </w:pPr>
      <w:r>
        <w:rPr>
          <w:sz w:val="21"/>
          <w:szCs w:val="21"/>
        </w:rPr>
        <w:t xml:space="preserve">El proceso nocturno de la plataforma ejecuta además el ciclo de cobro.</w:t>
      </w:r>
    </w:p>
    <w:p>
      <w:pPr>
        <w:pStyle w:val="ListParagraph"/>
        <w:numPr>
          <w:ilvl w:val="0"/>
          <w:numId w:val="2"/>
        </w:numPr>
        <w:spacing w:after="60"/>
      </w:pPr>
      <w:r>
        <w:rPr>
          <w:sz w:val="21"/>
          <w:szCs w:val="21"/>
        </w:rPr>
        <w:t xml:space="preserve">Los datos iniciales incluyen tres planes comerciales.</w:t>
      </w:r>
    </w:p>
    <w:p>
      <w:pPr>
        <w:pStyle w:val="Heading1"/>
        <w:spacing w:after="140" w:before="320"/>
      </w:pPr>
      <w:r>
        <w:t xml:space="preserve">6. Observaciones sobre el material recibido</w:t>
      </w:r>
    </w:p>
    <w:p>
      <w:pPr>
        <w:pStyle w:val="ListParagraph"/>
        <w:numPr>
          <w:ilvl w:val="0"/>
          <w:numId w:val="2"/>
        </w:numPr>
        <w:spacing w:after="60"/>
      </w:pPr>
      <w:r>
        <w:rPr>
          <w:sz w:val="21"/>
          <w:szCs w:val="21"/>
        </w:rPr>
        <w:t xml:space="preserve">El módulo de Consola Interna presentaba tres defectos que impedían su funcionamiento y que fueron corregidos: llamadas a funciones de base de datos con tipos de dato incompatibles, ejecución manual de procesos que no llegaba a iniciarse, y llaves foráneas sin índice.</w:t>
      </w:r>
    </w:p>
    <w:p>
      <w:pPr>
        <w:pStyle w:val="ListParagraph"/>
        <w:numPr>
          <w:ilvl w:val="0"/>
          <w:numId w:val="2"/>
        </w:numPr>
        <w:spacing w:after="60"/>
      </w:pPr>
      <w:r>
        <w:rPr>
          <w:sz w:val="21"/>
          <w:szCs w:val="21"/>
        </w:rPr>
        <w:t xml:space="preserve">El servicio planificador no iniciaba en Docker por un problema de permisos de escritura, que fue corregido.</w:t>
      </w:r>
    </w:p>
    <w:p>
      <w:pPr>
        <w:pStyle w:val="ListParagraph"/>
        <w:numPr>
          <w:ilvl w:val="0"/>
          <w:numId w:val="2"/>
        </w:numPr>
        <w:spacing w:after="60"/>
      </w:pPr>
      <w:r>
        <w:rPr>
          <w:sz w:val="21"/>
          <w:szCs w:val="21"/>
        </w:rPr>
        <w:t xml:space="preserve">El historial del indicador de ingreso recurrente (MRR) se calcula con las suscripciones actuales, por lo que los meses anteriores muestran el mismo valor. Su corrección requiere registrar los cambios de plan.</w:t>
      </w:r>
    </w:p>
    <w:p>
      <w:pPr>
        <w:pStyle w:val="Heading1"/>
        <w:spacing w:after="140" w:before="320"/>
      </w:pPr>
      <w:r>
        <w:t xml:space="preserve">7. Próximos 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5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Hito</w:t>
            </w:r>
          </w:p>
        </w:tc>
        <w:tc>
          <w:tcPr>
            <w:tcW w:type="dxa" w:w="4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Trabajo</w:t>
            </w:r>
          </w:p>
        </w:tc>
        <w:tc>
          <w:tcPr>
            <w:tcW w:type="dxa" w:w="25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b/>
                <w:bCs/>
                <w:color w:val="FFFFFF"/>
                <w:sz w:val="18"/>
                <w:szCs w:val="18"/>
              </w:rPr>
              <w:t xml:space="preserve">Fecha</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Hito 2: proyecto en Docker</w:t>
            </w:r>
          </w:p>
        </w:tc>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Cumplido: toda la plataforma se levanta con Docker Compose. Se mantendrá actualizado con los cambios siguientes.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26 al 31 de octubre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Cierre de brechas</w:t>
            </w:r>
          </w:p>
        </w:tc>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Elementos parciales y pendientes de la sección 4, en el orden de las fechas proyectadas.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23 de octubre al 13 de noviembre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bCs/>
                <w:sz w:val="18"/>
                <w:szCs w:val="18"/>
              </w:rPr>
              <w:t xml:space="preserve">Hito 3: proyecto documentado</w:t>
            </w:r>
          </w:p>
        </w:tc>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Manuales de usuario, de administrador y de desarrollo; diagrama físico de la base de datos; lista de endpoints; descripción del sistema de registro de eventos.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b w:val="false"/>
                <w:bCs w:val="false"/>
                <w:sz w:val="18"/>
                <w:szCs w:val="18"/>
              </w:rPr>
              <w:t xml:space="preserve">16 al 28 de noviembre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DADN_03 · Acredittia Administración del negocio · Página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28"/>
      <w:szCs w:val="28"/>
    </w:rPr>
  </w:style>
  <w:style w:type="paragraph" w:styleId="Heading2">
    <w:name w:val="Heading 2"/>
    <w:basedOn w:val="Normal"/>
    <w:next w:val="Normal"/>
    <w:qFormat/>
    <w:pPr>
      <w:outlineLvl w:val="1"/>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avances — Hito 1 (MVP)</dc:title>
  <dc:creator>Equipo DADN_03</dc:creator>
  <cp:lastModifiedBy>Un-named</cp:lastModifiedBy>
  <cp:revision>1</cp:revision>
  <dcterms:created xsi:type="dcterms:W3CDTF">2026-10-11T01:15:44.911Z</dcterms:created>
  <dcterms:modified xsi:type="dcterms:W3CDTF">2026-10-11T01:15:44.911Z</dcterms:modified>
</cp:coreProperties>
</file>

<file path=docProps/custom.xml><?xml version="1.0" encoding="utf-8"?>
<Properties xmlns="http://schemas.openxmlformats.org/officeDocument/2006/custom-properties" xmlns:vt="http://schemas.openxmlformats.org/officeDocument/2006/docPropsVTypes"/>
</file>