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jpg" ContentType="image/jpeg"/>
  <Override PartName="/word/media/rId58.jpg" ContentType="image/jpeg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Использовать MC для выполнения базовых функций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Внимательно изучаем мануал по команде mc.</w:t>
      </w:r>
    </w:p>
    <w:p>
      <w:pPr>
        <w:pStyle w:val="BodyText"/>
      </w:pPr>
      <w:r>
        <w:t xml:space="preserve">выполняем мс</w:t>
      </w:r>
    </w:p>
    <w:p>
      <w:pPr>
        <w:pStyle w:val="BodyText"/>
      </w:pPr>
      <w:r>
        <w:t xml:space="preserve">Выполняем основные операции в оболочке (копирование файлов и каталогов и переименование файлов):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895673"/>
            <wp:effectExtent b="0" l="0" r="0" t="0"/>
            <wp:docPr descr="Figure 1: 2" title="" id="23" name="Picture"/>
            <a:graphic>
              <a:graphicData uri="http://schemas.openxmlformats.org/drawingml/2006/picture">
                <pic:pic>
                  <pic:nvPicPr>
                    <pic:cNvPr descr="image/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2</w:t>
      </w:r>
    </w:p>
    <w:bookmarkEnd w:id="0"/>
    <w:p>
      <w:pPr>
        <w:pStyle w:val="BodyText"/>
      </w:pPr>
      <w:r>
        <w:t xml:space="preserve">Копируем файл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2636654"/>
            <wp:effectExtent b="0" l="0" r="0" t="0"/>
            <wp:docPr descr="Figure 2: 3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3</w:t>
      </w:r>
    </w:p>
    <w:bookmarkEnd w:id="0"/>
    <w:p>
      <w:pPr>
        <w:pStyle w:val="BodyText"/>
      </w:pPr>
      <w:r>
        <w:t xml:space="preserve">Создаем новый каталог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5334000" cy="2569664"/>
            <wp:effectExtent b="0" l="0" r="0" t="0"/>
            <wp:docPr descr="Figure 3: 4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4</w:t>
      </w:r>
    </w:p>
    <w:bookmarkEnd w:id="0"/>
    <w:p>
      <w:pPr>
        <w:pStyle w:val="BodyText"/>
      </w:pPr>
      <w:r>
        <w:t xml:space="preserve">Просмотрим содержимое текстового файла: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7" w:name="fig:005"/>
      <w:r>
        <w:drawing>
          <wp:inline>
            <wp:extent cx="5334000" cy="3380308"/>
            <wp:effectExtent b="0" l="0" r="0" t="0"/>
            <wp:docPr descr="Figure 4: 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5</w:t>
      </w:r>
    </w:p>
    <w:bookmarkEnd w:id="0"/>
    <w:p>
      <w:pPr>
        <w:pStyle w:val="BodyText"/>
      </w:pPr>
      <w:r>
        <w:t xml:space="preserve">Редактируем содержимое текстового файла: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5334000" cy="1486524"/>
            <wp:effectExtent b="0" l="0" r="0" t="0"/>
            <wp:docPr descr="Figure 5: 6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6</w:t>
      </w:r>
    </w:p>
    <w:bookmarkEnd w:id="0"/>
    <w:p>
      <w:pPr>
        <w:pStyle w:val="BodyText"/>
      </w:pPr>
      <w:r>
        <w:t xml:space="preserve">При помощи меню Команда ищем файлы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5334000" cy="3631316"/>
            <wp:effectExtent b="0" l="0" r="0" t="0"/>
            <wp:docPr descr="Figure 6: 7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7</w:t>
      </w:r>
    </w:p>
    <w:bookmarkEnd w:id="0"/>
    <w:p>
      <w:pPr>
        <w:pStyle w:val="BodyText"/>
      </w:pPr>
      <w:r>
        <w:t xml:space="preserve">Проанализируем файлы меню и расширений: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9" w:name="fig:008"/>
      <w:r>
        <w:drawing>
          <wp:inline>
            <wp:extent cx="5334000" cy="3337695"/>
            <wp:effectExtent b="0" l="0" r="0" t="0"/>
            <wp:docPr descr="Figure 7: 8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8</w:t>
      </w:r>
    </w:p>
    <w:bookmarkEnd w:id="0"/>
    <w:p>
      <w:pPr>
        <w:pStyle w:val="BodyText"/>
      </w:pPr>
      <w:r>
        <w:t xml:space="preserve">Освоим основные операции меню Настройки: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3" w:name="fig:009"/>
      <w:r>
        <w:drawing>
          <wp:inline>
            <wp:extent cx="5334000" cy="3520965"/>
            <wp:effectExtent b="0" l="0" r="0" t="0"/>
            <wp:docPr descr="Figure 8: 9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9</w:t>
      </w:r>
    </w:p>
    <w:bookmarkEnd w:id="0"/>
    <w:p>
      <w:pPr>
        <w:pStyle w:val="BodyText"/>
      </w:pPr>
      <w:r>
        <w:t xml:space="preserve">Создадим текстовый файл</w:t>
      </w:r>
    </w:p>
    <w:p>
      <w:pPr>
        <w:pStyle w:val="BodyText"/>
      </w:pPr>
      <w:r>
        <w:t xml:space="preserve">Отредактируем его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57" w:name="fig:010"/>
      <w:r>
        <w:drawing>
          <wp:inline>
            <wp:extent cx="5334000" cy="814916"/>
            <wp:effectExtent b="0" l="0" r="0" t="0"/>
            <wp:docPr descr="Figure 9: 10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10</w:t>
      </w:r>
    </w:p>
    <w:bookmarkEnd w:id="0"/>
    <w:p>
      <w:pPr>
        <w:pStyle w:val="BodyText"/>
      </w:pPr>
      <w:r>
        <w:t xml:space="preserve">используя горячие клавиши, проведем с текстом манипуляции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1" w:name="fig:011"/>
      <w:r>
        <w:drawing>
          <wp:inline>
            <wp:extent cx="5334000" cy="2075542"/>
            <wp:effectExtent b="0" l="0" r="0" t="0"/>
            <wp:docPr descr="Figure 10: 10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10</w:t>
      </w:r>
    </w:p>
    <w:bookmarkEnd w:id="0"/>
    <w:bookmarkEnd w:id="62"/>
    <w:bookmarkStart w:id="6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bookmarkEnd w:id="63"/>
    <w:bookmarkStart w:id="64" w:name="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Вопросы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основные возможности командной оболочки Midnight Commander. Приоб-</w:t>
      </w:r>
      <w:r>
        <w:t xml:space="preserve"> </w:t>
      </w:r>
      <w:r>
        <w:t xml:space="preserve">рёл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Щетинин Даниил Николаевич</dc:creator>
  <dc:language>ru-RU</dc:language>
  <cp:keywords/>
  <dcterms:created xsi:type="dcterms:W3CDTF">2023-03-25T15:03:26Z</dcterms:created>
  <dcterms:modified xsi:type="dcterms:W3CDTF">2023-03-25T15:03:26Z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