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Microsoft Intune Compliance Policies</w:t>
      </w:r>
    </w:p>
    <w:p>
      <w:pPr>
        <w:jc w:val="center"/>
      </w:pPr>
      <w:r>
        <w:rPr>
          <w:color w:val="0078D4"/>
          <w:sz w:val="28"/>
        </w:rPr>
        <w:t>Screenshot-Based Zero-to-Advanced Master SOP</w:t>
      </w:r>
    </w:p>
    <w:p>
      <w:pPr>
        <w:jc w:val="center"/>
      </w:pPr>
      <w:r>
        <w:rPr>
          <w:b/>
          <w:sz w:val="22"/>
        </w:rPr>
        <w:t>Design | Create | Notify | Remediate | Conditional Access | Custom Compliance | Monitor | Troubleshoot | Govern</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Purpose</w:t>
              <w:br/>
            </w:r>
            <w:r>
              <w:t>A complete operational guide to Microsoft Intune device compliance. It explains concepts, exact portal paths, Windows policy creation, actions for noncompliance, notification templates, tenant compliance settings, custom compliance scripts, monitoring, Conditional Access integration, BitLocker/security dependencies, troubleshooting, governance, and the screenshots supplied in Compliance Policies.docx.</w:t>
            </w:r>
          </w:p>
        </w:tc>
      </w:tr>
    </w:tbl>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05" w:type="dxa"/>
              <w:start w:w="125" w:type="dxa"/>
              <w:bottom w:w="105" w:type="dxa"/>
              <w:end w:w="125" w:type="dxa"/>
            </w:tcMar>
          </w:tcPr>
          <w:p>
            <w:r>
              <w:rPr>
                <w:b/>
                <w:color w:val="FFFFFF"/>
              </w:rPr>
              <w:t>Document field</w:t>
            </w:r>
          </w:p>
        </w:tc>
        <w:tc>
          <w:tcPr>
            <w:tcW w:type="dxa" w:w="5083"/>
            <w:shd w:fill="17365D"/>
            <w:tcMar>
              <w:top w:w="105" w:type="dxa"/>
              <w:start w:w="125" w:type="dxa"/>
              <w:bottom w:w="105" w:type="dxa"/>
              <w:end w:w="125" w:type="dxa"/>
            </w:tcMar>
          </w:tcPr>
          <w:p>
            <w:r>
              <w:rPr>
                <w:b/>
                <w:color w:val="FFFFFF"/>
              </w:rPr>
              <w:t>Value</w:t>
            </w:r>
          </w:p>
        </w:tc>
      </w:tr>
      <w:tr>
        <w:tc>
          <w:tcPr>
            <w:tcW w:type="dxa" w:w="5083"/>
            <w:tcMar>
              <w:top w:w="105" w:type="dxa"/>
              <w:start w:w="125" w:type="dxa"/>
              <w:bottom w:w="105" w:type="dxa"/>
              <w:end w:w="125" w:type="dxa"/>
            </w:tcMar>
            <w:vAlign w:val="center"/>
          </w:tcPr>
          <w:p>
            <w:r>
              <w:t>Owner</w:t>
            </w:r>
          </w:p>
        </w:tc>
        <w:tc>
          <w:tcPr>
            <w:tcW w:type="dxa" w:w="5083"/>
            <w:tcMar>
              <w:top w:w="105" w:type="dxa"/>
              <w:start w:w="125" w:type="dxa"/>
              <w:bottom w:w="105" w:type="dxa"/>
              <w:end w:w="125" w:type="dxa"/>
            </w:tcMar>
            <w:vAlign w:val="center"/>
          </w:tcPr>
          <w:p>
            <w:r>
              <w:t>Endpoint Management / IT Operations</w:t>
            </w:r>
          </w:p>
        </w:tc>
      </w:tr>
      <w:tr>
        <w:tc>
          <w:tcPr>
            <w:tcW w:type="dxa" w:w="5083"/>
            <w:tcMar>
              <w:top w:w="105" w:type="dxa"/>
              <w:start w:w="125" w:type="dxa"/>
              <w:bottom w:w="105" w:type="dxa"/>
              <w:end w:w="125" w:type="dxa"/>
            </w:tcMar>
            <w:vAlign w:val="center"/>
          </w:tcPr>
          <w:p>
            <w:r>
              <w:t>Platform</w:t>
            </w:r>
          </w:p>
        </w:tc>
        <w:tc>
          <w:tcPr>
            <w:tcW w:type="dxa" w:w="5083"/>
            <w:tcMar>
              <w:top w:w="105" w:type="dxa"/>
              <w:start w:w="125" w:type="dxa"/>
              <w:bottom w:w="105" w:type="dxa"/>
              <w:end w:w="125" w:type="dxa"/>
            </w:tcMar>
            <w:vAlign w:val="center"/>
          </w:tcPr>
          <w:p>
            <w:r>
              <w:t>Microsoft Intune and Microsoft Entra ID</w:t>
            </w:r>
          </w:p>
        </w:tc>
      </w:tr>
      <w:tr>
        <w:tc>
          <w:tcPr>
            <w:tcW w:type="dxa" w:w="5083"/>
            <w:tcMar>
              <w:top w:w="105" w:type="dxa"/>
              <w:start w:w="125" w:type="dxa"/>
              <w:bottom w:w="105" w:type="dxa"/>
              <w:end w:w="125" w:type="dxa"/>
            </w:tcMar>
            <w:vAlign w:val="center"/>
          </w:tcPr>
          <w:p>
            <w:r>
              <w:t>Worked example</w:t>
            </w:r>
          </w:p>
        </w:tc>
        <w:tc>
          <w:tcPr>
            <w:tcW w:type="dxa" w:w="5083"/>
            <w:tcMar>
              <w:top w:w="105" w:type="dxa"/>
              <w:start w:w="125" w:type="dxa"/>
              <w:bottom w:w="105" w:type="dxa"/>
              <w:end w:w="125" w:type="dxa"/>
            </w:tcMar>
            <w:vAlign w:val="center"/>
          </w:tcPr>
          <w:p>
            <w:r>
              <w:t>Windows Compliance policy</w:t>
            </w:r>
          </w:p>
        </w:tc>
      </w:tr>
      <w:tr>
        <w:tc>
          <w:tcPr>
            <w:tcW w:type="dxa" w:w="5083"/>
            <w:tcMar>
              <w:top w:w="105" w:type="dxa"/>
              <w:start w:w="125" w:type="dxa"/>
              <w:bottom w:w="105" w:type="dxa"/>
              <w:end w:w="125" w:type="dxa"/>
            </w:tcMar>
            <w:vAlign w:val="center"/>
          </w:tcPr>
          <w:p>
            <w:r>
              <w:t>Source screenshots</w:t>
            </w:r>
          </w:p>
        </w:tc>
        <w:tc>
          <w:tcPr>
            <w:tcW w:type="dxa" w:w="5083"/>
            <w:tcMar>
              <w:top w:w="105" w:type="dxa"/>
              <w:start w:w="125" w:type="dxa"/>
              <w:bottom w:w="105" w:type="dxa"/>
              <w:end w:w="125" w:type="dxa"/>
            </w:tcMar>
            <w:vAlign w:val="center"/>
          </w:tcPr>
          <w:p>
            <w:r>
              <w:t>Compliance Policies.docx</w:t>
            </w:r>
          </w:p>
        </w:tc>
      </w:tr>
      <w:tr>
        <w:tc>
          <w:tcPr>
            <w:tcW w:type="dxa" w:w="5083"/>
            <w:tcMar>
              <w:top w:w="105" w:type="dxa"/>
              <w:start w:w="125" w:type="dxa"/>
              <w:bottom w:w="105" w:type="dxa"/>
              <w:end w:w="125" w:type="dxa"/>
            </w:tcMar>
            <w:vAlign w:val="center"/>
          </w:tcPr>
          <w:p>
            <w:r>
              <w:t>Version</w:t>
            </w:r>
          </w:p>
        </w:tc>
        <w:tc>
          <w:tcPr>
            <w:tcW w:type="dxa" w:w="5083"/>
            <w:tcMar>
              <w:top w:w="105" w:type="dxa"/>
              <w:start w:w="125" w:type="dxa"/>
              <w:bottom w:w="105" w:type="dxa"/>
              <w:end w:w="125" w:type="dxa"/>
            </w:tcMar>
            <w:vAlign w:val="center"/>
          </w:tcPr>
          <w:p>
            <w:r>
              <w:t>1.0</w:t>
            </w:r>
          </w:p>
        </w:tc>
      </w:tr>
      <w:tr>
        <w:tc>
          <w:tcPr>
            <w:tcW w:type="dxa" w:w="5083"/>
            <w:tcMar>
              <w:top w:w="105" w:type="dxa"/>
              <w:start w:w="125" w:type="dxa"/>
              <w:bottom w:w="105" w:type="dxa"/>
              <w:end w:w="125" w:type="dxa"/>
            </w:tcMar>
            <w:vAlign w:val="center"/>
          </w:tcPr>
          <w:p>
            <w:r>
              <w:t>Prepared date</w:t>
            </w:r>
          </w:p>
        </w:tc>
        <w:tc>
          <w:tcPr>
            <w:tcW w:type="dxa" w:w="5083"/>
            <w:tcMar>
              <w:top w:w="105" w:type="dxa"/>
              <w:start w:w="125" w:type="dxa"/>
              <w:bottom w:w="105" w:type="dxa"/>
              <w:end w:w="125" w:type="dxa"/>
            </w:tcMar>
            <w:vAlign w:val="center"/>
          </w:tcPr>
          <w:p>
            <w:r>
              <w:t>25 September 2026</w:t>
            </w:r>
          </w:p>
        </w:tc>
      </w:tr>
      <w:tr>
        <w:tc>
          <w:tcPr>
            <w:tcW w:type="dxa" w:w="5083"/>
            <w:tcMar>
              <w:top w:w="105" w:type="dxa"/>
              <w:start w:w="125" w:type="dxa"/>
              <w:bottom w:w="105" w:type="dxa"/>
              <w:end w:w="125" w:type="dxa"/>
            </w:tcMar>
            <w:vAlign w:val="center"/>
          </w:tcPr>
          <w:p>
            <w:r>
              <w:t>Classification</w:t>
            </w:r>
          </w:p>
        </w:tc>
        <w:tc>
          <w:tcPr>
            <w:tcW w:type="dxa" w:w="5083"/>
            <w:tcMar>
              <w:top w:w="105" w:type="dxa"/>
              <w:start w:w="125" w:type="dxa"/>
              <w:bottom w:w="105" w:type="dxa"/>
              <w:end w:w="125" w:type="dxa"/>
            </w:tcMar>
            <w:vAlign w:val="center"/>
          </w:tcPr>
          <w:p>
            <w:r>
              <w:t>Internal use</w:t>
            </w:r>
          </w:p>
        </w:tc>
      </w:tr>
    </w:tbl>
    <w:p>
      <w:r>
        <w:br w:type="page"/>
      </w:r>
    </w:p>
    <w:p>
      <w:pPr>
        <w:pStyle w:val="Title"/>
        <w:jc w:val="center"/>
      </w:pPr>
      <w:r>
        <w:t>1. Compliance Fundamentals</w:t>
      </w:r>
    </w:p>
    <w:p>
      <w:pPr>
        <w:pStyle w:val="Heading2"/>
      </w:pPr>
      <w:r>
        <w:t>1.1 What compliance does</w:t>
      </w:r>
    </w:p>
    <w:p>
      <w:r>
        <w:t>A compliance policy evaluates whether an enrolled device meets defined requirements. Examples include minimum operating system version, encryption, firewall, antivirus, Secure Boot, TPM, password, and threat level. Compliance evaluates state; configuration profiles and security policies are used to apply settings.</w:t>
      </w:r>
    </w:p>
    <w:p>
      <w:pPr>
        <w:pStyle w:val="Heading2"/>
      </w:pPr>
      <w:r>
        <w:t>1.2 Decision flow</w:t>
      </w:r>
    </w:p>
    <w:p>
      <w:pPr>
        <w:pStyle w:val="ListNumber"/>
      </w:pPr>
      <w:r>
        <w:t>Intune assigns compliance policy.</w:t>
      </w:r>
    </w:p>
    <w:p>
      <w:pPr>
        <w:pStyle w:val="ListNumber"/>
      </w:pPr>
      <w:r>
        <w:t>Device evaluates built-in and custom settings.</w:t>
      </w:r>
    </w:p>
    <w:p>
      <w:pPr>
        <w:pStyle w:val="ListNumber"/>
      </w:pPr>
      <w:r>
        <w:t>Device reports results.</w:t>
      </w:r>
    </w:p>
    <w:p>
      <w:pPr>
        <w:pStyle w:val="ListNumber"/>
      </w:pPr>
      <w:r>
        <w:t>Intune calculates overall compliance state.</w:t>
      </w:r>
    </w:p>
    <w:p>
      <w:pPr>
        <w:pStyle w:val="ListNumber"/>
      </w:pPr>
      <w:r>
        <w:t>Actions for noncompliance run according to schedule.</w:t>
      </w:r>
    </w:p>
    <w:p>
      <w:pPr>
        <w:pStyle w:val="ListNumber"/>
      </w:pPr>
      <w:r>
        <w:t>Conditional Access can use the compliant-device signal to allow or block access.</w:t>
      </w:r>
    </w:p>
    <w:p>
      <w:pPr>
        <w:pStyle w:val="Heading2"/>
      </w:pPr>
      <w:r>
        <w:t>1.3 Status meanings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05" w:type="dxa"/>
              <w:start w:w="125" w:type="dxa"/>
              <w:bottom w:w="105" w:type="dxa"/>
              <w:end w:w="125" w:type="dxa"/>
            </w:tcMar>
          </w:tcPr>
          <w:p>
            <w:r>
              <w:rPr>
                <w:b/>
                <w:color w:val="FFFFFF"/>
              </w:rPr>
              <w:t>State</w:t>
            </w:r>
          </w:p>
        </w:tc>
        <w:tc>
          <w:tcPr>
            <w:tcW w:type="dxa" w:w="3389"/>
            <w:shd w:fill="17365D"/>
            <w:tcMar>
              <w:top w:w="105" w:type="dxa"/>
              <w:start w:w="125" w:type="dxa"/>
              <w:bottom w:w="105" w:type="dxa"/>
              <w:end w:w="125" w:type="dxa"/>
            </w:tcMar>
          </w:tcPr>
          <w:p>
            <w:r>
              <w:rPr>
                <w:b/>
                <w:color w:val="FFFFFF"/>
              </w:rPr>
              <w:t>Meaning</w:t>
            </w:r>
          </w:p>
        </w:tc>
        <w:tc>
          <w:tcPr>
            <w:tcW w:type="dxa" w:w="3389"/>
            <w:shd w:fill="17365D"/>
            <w:tcMar>
              <w:top w:w="105" w:type="dxa"/>
              <w:start w:w="125" w:type="dxa"/>
              <w:bottom w:w="105" w:type="dxa"/>
              <w:end w:w="125" w:type="dxa"/>
            </w:tcMar>
          </w:tcPr>
          <w:p>
            <w:r>
              <w:rPr>
                <w:b/>
                <w:color w:val="FFFFFF"/>
              </w:rPr>
              <w:t>Administrator action</w:t>
            </w:r>
          </w:p>
        </w:tc>
      </w:tr>
      <w:tr>
        <w:tc>
          <w:tcPr>
            <w:tcW w:type="dxa" w:w="3389"/>
            <w:tcMar>
              <w:top w:w="105" w:type="dxa"/>
              <w:start w:w="125" w:type="dxa"/>
              <w:bottom w:w="105" w:type="dxa"/>
              <w:end w:w="125" w:type="dxa"/>
            </w:tcMar>
            <w:vAlign w:val="center"/>
          </w:tcPr>
          <w:p>
            <w:r>
              <w:t>Compliant</w:t>
            </w:r>
          </w:p>
        </w:tc>
        <w:tc>
          <w:tcPr>
            <w:tcW w:type="dxa" w:w="3389"/>
            <w:tcMar>
              <w:top w:w="105" w:type="dxa"/>
              <w:start w:w="125" w:type="dxa"/>
              <w:bottom w:w="105" w:type="dxa"/>
              <w:end w:w="125" w:type="dxa"/>
            </w:tcMar>
            <w:vAlign w:val="center"/>
          </w:tcPr>
          <w:p>
            <w:r>
              <w:t>All applicable required settings passed</w:t>
            </w:r>
          </w:p>
        </w:tc>
        <w:tc>
          <w:tcPr>
            <w:tcW w:type="dxa" w:w="3389"/>
            <w:tcMar>
              <w:top w:w="105" w:type="dxa"/>
              <w:start w:w="125" w:type="dxa"/>
              <w:bottom w:w="105" w:type="dxa"/>
              <w:end w:w="125" w:type="dxa"/>
            </w:tcMar>
            <w:vAlign w:val="center"/>
          </w:tcPr>
          <w:p>
            <w:r>
              <w:t>Continue monitoring</w:t>
            </w:r>
          </w:p>
        </w:tc>
      </w:tr>
      <w:tr>
        <w:tc>
          <w:tcPr>
            <w:tcW w:type="dxa" w:w="3389"/>
            <w:tcMar>
              <w:top w:w="105" w:type="dxa"/>
              <w:start w:w="125" w:type="dxa"/>
              <w:bottom w:w="105" w:type="dxa"/>
              <w:end w:w="125" w:type="dxa"/>
            </w:tcMar>
            <w:vAlign w:val="center"/>
          </w:tcPr>
          <w:p>
            <w:r>
              <w:t>Noncompliant</w:t>
            </w:r>
          </w:p>
        </w:tc>
        <w:tc>
          <w:tcPr>
            <w:tcW w:type="dxa" w:w="3389"/>
            <w:tcMar>
              <w:top w:w="105" w:type="dxa"/>
              <w:start w:w="125" w:type="dxa"/>
              <w:bottom w:w="105" w:type="dxa"/>
              <w:end w:w="125" w:type="dxa"/>
            </w:tcMar>
            <w:vAlign w:val="center"/>
          </w:tcPr>
          <w:p>
            <w:r>
              <w:t>At least one applicable requirement failed</w:t>
            </w:r>
          </w:p>
        </w:tc>
        <w:tc>
          <w:tcPr>
            <w:tcW w:type="dxa" w:w="3389"/>
            <w:tcMar>
              <w:top w:w="105" w:type="dxa"/>
              <w:start w:w="125" w:type="dxa"/>
              <w:bottom w:w="105" w:type="dxa"/>
              <w:end w:w="125" w:type="dxa"/>
            </w:tcMar>
            <w:vAlign w:val="center"/>
          </w:tcPr>
          <w:p>
            <w:r>
              <w:t>Open per-setting details and remediate</w:t>
            </w:r>
          </w:p>
        </w:tc>
      </w:tr>
      <w:tr>
        <w:tc>
          <w:tcPr>
            <w:tcW w:type="dxa" w:w="3389"/>
            <w:tcMar>
              <w:top w:w="105" w:type="dxa"/>
              <w:start w:w="125" w:type="dxa"/>
              <w:bottom w:w="105" w:type="dxa"/>
              <w:end w:w="125" w:type="dxa"/>
            </w:tcMar>
            <w:vAlign w:val="center"/>
          </w:tcPr>
          <w:p>
            <w:r>
              <w:t>In grace period</w:t>
            </w:r>
          </w:p>
        </w:tc>
        <w:tc>
          <w:tcPr>
            <w:tcW w:type="dxa" w:w="3389"/>
            <w:tcMar>
              <w:top w:w="105" w:type="dxa"/>
              <w:start w:w="125" w:type="dxa"/>
              <w:bottom w:w="105" w:type="dxa"/>
              <w:end w:w="125" w:type="dxa"/>
            </w:tcMar>
            <w:vAlign w:val="center"/>
          </w:tcPr>
          <w:p>
            <w:r>
              <w:t>Device failed but scheduled action delay remains</w:t>
            </w:r>
          </w:p>
        </w:tc>
        <w:tc>
          <w:tcPr>
            <w:tcW w:type="dxa" w:w="3389"/>
            <w:tcMar>
              <w:top w:w="105" w:type="dxa"/>
              <w:start w:w="125" w:type="dxa"/>
              <w:bottom w:w="105" w:type="dxa"/>
              <w:end w:w="125" w:type="dxa"/>
            </w:tcMar>
            <w:vAlign w:val="center"/>
          </w:tcPr>
          <w:p>
            <w:r>
              <w:t>Notify and remediate before deadline</w:t>
            </w:r>
          </w:p>
        </w:tc>
      </w:tr>
      <w:tr>
        <w:tc>
          <w:tcPr>
            <w:tcW w:type="dxa" w:w="3389"/>
            <w:tcMar>
              <w:top w:w="105" w:type="dxa"/>
              <w:start w:w="125" w:type="dxa"/>
              <w:bottom w:w="105" w:type="dxa"/>
              <w:end w:w="125" w:type="dxa"/>
            </w:tcMar>
            <w:vAlign w:val="center"/>
          </w:tcPr>
          <w:p>
            <w:r>
              <w:t>Not evaluated</w:t>
            </w:r>
          </w:p>
        </w:tc>
        <w:tc>
          <w:tcPr>
            <w:tcW w:type="dxa" w:w="3389"/>
            <w:tcMar>
              <w:top w:w="105" w:type="dxa"/>
              <w:start w:w="125" w:type="dxa"/>
              <w:bottom w:w="105" w:type="dxa"/>
              <w:end w:w="125" w:type="dxa"/>
            </w:tcMar>
            <w:vAlign w:val="center"/>
          </w:tcPr>
          <w:p>
            <w:r>
              <w:t>Policy has not evaluated or device lacks required conditions</w:t>
            </w:r>
          </w:p>
        </w:tc>
        <w:tc>
          <w:tcPr>
            <w:tcW w:type="dxa" w:w="3389"/>
            <w:tcMar>
              <w:top w:w="105" w:type="dxa"/>
              <w:start w:w="125" w:type="dxa"/>
              <w:bottom w:w="105" w:type="dxa"/>
              <w:end w:w="125" w:type="dxa"/>
            </w:tcMar>
            <w:vAlign w:val="center"/>
          </w:tcPr>
          <w:p>
            <w:r>
              <w:t>Check enrollment, assignment, check-in, user, and licensing</w:t>
            </w:r>
          </w:p>
        </w:tc>
      </w:tr>
      <w:tr>
        <w:tc>
          <w:tcPr>
            <w:tcW w:type="dxa" w:w="3389"/>
            <w:tcMar>
              <w:top w:w="105" w:type="dxa"/>
              <w:start w:w="125" w:type="dxa"/>
              <w:bottom w:w="105" w:type="dxa"/>
              <w:end w:w="125" w:type="dxa"/>
            </w:tcMar>
            <w:vAlign w:val="center"/>
          </w:tcPr>
          <w:p>
            <w:r>
              <w:t>Error</w:t>
            </w:r>
          </w:p>
        </w:tc>
        <w:tc>
          <w:tcPr>
            <w:tcW w:type="dxa" w:w="3389"/>
            <w:tcMar>
              <w:top w:w="105" w:type="dxa"/>
              <w:start w:w="125" w:type="dxa"/>
              <w:bottom w:w="105" w:type="dxa"/>
              <w:end w:w="125" w:type="dxa"/>
            </w:tcMar>
            <w:vAlign w:val="center"/>
          </w:tcPr>
          <w:p>
            <w:r>
              <w:t>Evaluation/script/platform error</w:t>
            </w:r>
          </w:p>
        </w:tc>
        <w:tc>
          <w:tcPr>
            <w:tcW w:type="dxa" w:w="3389"/>
            <w:tcMar>
              <w:top w:w="105" w:type="dxa"/>
              <w:start w:w="125" w:type="dxa"/>
              <w:bottom w:w="105" w:type="dxa"/>
              <w:end w:w="125" w:type="dxa"/>
            </w:tcMar>
            <w:vAlign w:val="center"/>
          </w:tcPr>
          <w:p>
            <w:r>
              <w:t>Review setting, custom script, logs, and platform support</w:t>
            </w:r>
          </w:p>
        </w:tc>
      </w:tr>
      <w:tr>
        <w:tc>
          <w:tcPr>
            <w:tcW w:type="dxa" w:w="3389"/>
            <w:tcMar>
              <w:top w:w="105" w:type="dxa"/>
              <w:start w:w="125" w:type="dxa"/>
              <w:bottom w:w="105" w:type="dxa"/>
              <w:end w:w="125" w:type="dxa"/>
            </w:tcMar>
            <w:vAlign w:val="center"/>
          </w:tcPr>
          <w:p>
            <w:r>
              <w:t>Conflict</w:t>
            </w:r>
          </w:p>
        </w:tc>
        <w:tc>
          <w:tcPr>
            <w:tcW w:type="dxa" w:w="3389"/>
            <w:tcMar>
              <w:top w:w="105" w:type="dxa"/>
              <w:start w:w="125" w:type="dxa"/>
              <w:bottom w:w="105" w:type="dxa"/>
              <w:end w:w="125" w:type="dxa"/>
            </w:tcMar>
            <w:vAlign w:val="center"/>
          </w:tcPr>
          <w:p>
            <w:r>
              <w:t>Competing policies define incompatible requirements</w:t>
            </w:r>
          </w:p>
        </w:tc>
        <w:tc>
          <w:tcPr>
            <w:tcW w:type="dxa" w:w="3389"/>
            <w:tcMar>
              <w:top w:w="105" w:type="dxa"/>
              <w:start w:w="125" w:type="dxa"/>
              <w:bottom w:w="105" w:type="dxa"/>
              <w:end w:w="125" w:type="dxa"/>
            </w:tcMar>
            <w:vAlign w:val="center"/>
          </w:tcPr>
          <w:p>
            <w:r>
              <w:t>Identify overlapping policies</w:t>
            </w:r>
          </w:p>
        </w:tc>
      </w:tr>
    </w:tbl>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Key distinction</w:t>
              <w:br/>
            </w:r>
            <w:r>
              <w:t>Compliance does not automatically configure BitLocker, antivirus, firewall, or password settings. Deploy configuration or endpoint security policies first, then use compliance to verify the resulting state.</w:t>
            </w:r>
          </w:p>
        </w:tc>
      </w:tr>
    </w:tbl>
    <w:p/>
    <w:p>
      <w:r>
        <w:br w:type="page"/>
      </w:r>
    </w:p>
    <w:p>
      <w:pPr>
        <w:pStyle w:val="Title"/>
        <w:jc w:val="center"/>
      </w:pPr>
      <w:r>
        <w:t>2. Navigate to Device Compliance</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Compliance</w:t>
            </w:r>
          </w:p>
        </w:tc>
      </w:tr>
    </w:tbl>
    <w:p/>
    <w:p>
      <w:pPr>
        <w:jc w:val="center"/>
      </w:pPr>
      <w:r>
        <w:drawing>
          <wp:inline xmlns:a="http://schemas.openxmlformats.org/drawingml/2006/main" xmlns:pic="http://schemas.openxmlformats.org/drawingml/2006/picture">
            <wp:extent cx="6263640" cy="3679684"/>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263640" cy="3679684"/>
                    </a:xfrm>
                    <a:prstGeom prst="rect"/>
                  </pic:spPr>
                </pic:pic>
              </a:graphicData>
            </a:graphic>
          </wp:inline>
        </w:drawing>
      </w:r>
    </w:p>
    <w:p>
      <w:pPr>
        <w:pStyle w:val="Cap"/>
        <w:jc w:val="center"/>
      </w:pPr>
      <w:r>
        <w:t>Figure 1. Devices &gt; Compliance overview with Policies, Notifications, Retire noncompliant devices, Compliance settings, Scripts, and Monitor.</w:t>
      </w:r>
    </w:p>
    <w:p>
      <w:pPr>
        <w:jc w:val="center"/>
      </w:pPr>
      <w:r>
        <w:drawing>
          <wp:inline xmlns:a="http://schemas.openxmlformats.org/drawingml/2006/main" xmlns:pic="http://schemas.openxmlformats.org/drawingml/2006/picture">
            <wp:extent cx="6263640" cy="3975534"/>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6263640" cy="3975534"/>
                    </a:xfrm>
                    <a:prstGeom prst="rect"/>
                  </pic:spPr>
                </pic:pic>
              </a:graphicData>
            </a:graphic>
          </wp:inline>
        </w:drawing>
      </w:r>
    </w:p>
    <w:p>
      <w:pPr>
        <w:pStyle w:val="Cap"/>
        <w:jc w:val="center"/>
      </w:pPr>
      <w:r>
        <w:t>Figure 2. Device onboarding and compliance navigation context.</w:t>
      </w:r>
    </w:p>
    <w:p>
      <w:pPr>
        <w:pStyle w:val="Heading2"/>
      </w:pPr>
      <w:r>
        <w:t>2.1 Prerequisites</w:t>
      </w:r>
    </w:p>
    <w:p>
      <w:pPr>
        <w:pStyle w:val="ListBullet"/>
      </w:pPr>
      <w:r>
        <w:t>Active Intune subscription.</w:t>
      </w:r>
    </w:p>
    <w:p>
      <w:pPr>
        <w:pStyle w:val="ListBullet"/>
      </w:pPr>
      <w:r>
        <w:t>Devices enrolled in Intune to report compliance.</w:t>
      </w:r>
    </w:p>
    <w:p>
      <w:pPr>
        <w:pStyle w:val="ListBullet"/>
      </w:pPr>
      <w:r>
        <w:t>Target users/devices and groups identified.</w:t>
      </w:r>
    </w:p>
    <w:p>
      <w:pPr>
        <w:pStyle w:val="ListBullet"/>
      </w:pPr>
      <w:r>
        <w:t>Microsoft Entra ID P1 or P2 when Conditional Access is used.</w:t>
      </w:r>
    </w:p>
    <w:p>
      <w:pPr>
        <w:pStyle w:val="ListBullet"/>
      </w:pPr>
      <w:r>
        <w:t>Supported platform and enrollment method.</w:t>
      </w:r>
    </w:p>
    <w:p>
      <w:pPr>
        <w:pStyle w:val="ListBullet"/>
      </w:pPr>
      <w:r>
        <w:t>Configuration/security policies ready to remediate the required state.</w:t>
      </w:r>
    </w:p>
    <w:p>
      <w:r>
        <w:br w:type="page"/>
      </w:r>
    </w:p>
    <w:p>
      <w:pPr>
        <w:pStyle w:val="Title"/>
        <w:jc w:val="center"/>
      </w:pPr>
      <w:r>
        <w:t>3. Create a Windows Compliance Policy</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Compliance &gt; Policies &gt; Create Policy</w:t>
            </w:r>
          </w:p>
        </w:tc>
      </w:tr>
    </w:tbl>
    <w:p/>
    <w:p>
      <w:pPr>
        <w:jc w:val="center"/>
      </w:pPr>
      <w:r>
        <w:drawing>
          <wp:inline xmlns:a="http://schemas.openxmlformats.org/drawingml/2006/main" xmlns:pic="http://schemas.openxmlformats.org/drawingml/2006/picture">
            <wp:extent cx="6263640" cy="3680489"/>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6263640" cy="3680489"/>
                    </a:xfrm>
                    <a:prstGeom prst="rect"/>
                  </pic:spPr>
                </pic:pic>
              </a:graphicData>
            </a:graphic>
          </wp:inline>
        </w:drawing>
      </w:r>
    </w:p>
    <w:p>
      <w:pPr>
        <w:pStyle w:val="Cap"/>
        <w:jc w:val="center"/>
      </w:pPr>
      <w:r>
        <w:t>Figure 3. Compliance Policies list and Create Policy entry point.</w:t>
      </w:r>
    </w:p>
    <w:p>
      <w:pPr>
        <w:pStyle w:val="Heading2"/>
      </w:pPr>
      <w:r>
        <w:t>3.1 Select platform</w:t>
      </w:r>
    </w:p>
    <w:p>
      <w:pPr>
        <w:pStyle w:val="ListBullet"/>
      </w:pPr>
      <w:r>
        <w:t>Select Windows 10/11 as the platform.</w:t>
      </w:r>
    </w:p>
    <w:p>
      <w:pPr>
        <w:pStyle w:val="ListBullet"/>
      </w:pPr>
      <w:r>
        <w:t>Select the available compliance policy profile.</w:t>
      </w:r>
    </w:p>
    <w:p>
      <w:pPr>
        <w:pStyle w:val="ListBullet"/>
      </w:pPr>
      <w:r>
        <w:t>Select Create.</w:t>
      </w:r>
    </w:p>
    <w:p>
      <w:pPr>
        <w:pStyle w:val="ListBullet"/>
      </w:pPr>
      <w:r>
        <w:t>On Basics, enter a unique Name and Description.</w:t>
      </w:r>
    </w:p>
    <w:p>
      <w:pPr>
        <w:pStyle w:val="ListBullet"/>
      </w:pPr>
      <w:r>
        <w:t>Include owner, business purpose, target group, policy version, and change ticket.</w:t>
      </w:r>
    </w:p>
    <w:p>
      <w:pPr>
        <w:jc w:val="center"/>
      </w:pPr>
      <w:r>
        <w:drawing>
          <wp:inline xmlns:a="http://schemas.openxmlformats.org/drawingml/2006/main" xmlns:pic="http://schemas.openxmlformats.org/drawingml/2006/picture">
            <wp:extent cx="6263640" cy="3692504"/>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6263640" cy="3692504"/>
                    </a:xfrm>
                    <a:prstGeom prst="rect"/>
                  </pic:spPr>
                </pic:pic>
              </a:graphicData>
            </a:graphic>
          </wp:inline>
        </w:drawing>
      </w:r>
    </w:p>
    <w:p>
      <w:pPr>
        <w:pStyle w:val="Cap"/>
        <w:jc w:val="center"/>
      </w:pPr>
      <w:r>
        <w:t>Figure 4. Windows Compliance policy overview and device/user status.</w:t>
      </w:r>
    </w:p>
    <w:p>
      <w:pPr>
        <w:jc w:val="center"/>
      </w:pPr>
      <w:r>
        <w:drawing>
          <wp:inline xmlns:a="http://schemas.openxmlformats.org/drawingml/2006/main" xmlns:pic="http://schemas.openxmlformats.org/drawingml/2006/picture">
            <wp:extent cx="6263640" cy="3733480"/>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6263640" cy="3733480"/>
                    </a:xfrm>
                    <a:prstGeom prst="rect"/>
                  </pic:spPr>
                </pic:pic>
              </a:graphicData>
            </a:graphic>
          </wp:inline>
        </w:drawing>
      </w:r>
    </w:p>
    <w:p>
      <w:pPr>
        <w:pStyle w:val="Cap"/>
        <w:jc w:val="center"/>
      </w:pPr>
      <w:r>
        <w:t>Figure 5. Policy properties and compliance settings summary.</w:t>
      </w:r>
    </w:p>
    <w:p>
      <w:r>
        <w:br w:type="page"/>
      </w:r>
    </w:p>
    <w:p>
      <w:pPr>
        <w:jc w:val="center"/>
      </w:pPr>
      <w:r>
        <w:drawing>
          <wp:inline xmlns:a="http://schemas.openxmlformats.org/drawingml/2006/main" xmlns:pic="http://schemas.openxmlformats.org/drawingml/2006/picture">
            <wp:extent cx="6263640" cy="4088826"/>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6263640" cy="4088826"/>
                    </a:xfrm>
                    <a:prstGeom prst="rect"/>
                  </pic:spPr>
                </pic:pic>
              </a:graphicData>
            </a:graphic>
          </wp:inline>
        </w:drawing>
      </w:r>
    </w:p>
    <w:p>
      <w:pPr>
        <w:pStyle w:val="Cap"/>
        <w:jc w:val="center"/>
      </w:pPr>
      <w:r>
        <w:t>Figure 6. Device Health settings including BitLocker and security checks.</w:t>
      </w:r>
    </w:p>
    <w:p>
      <w:pPr>
        <w:pStyle w:val="Heading2"/>
      </w:pPr>
      <w:r>
        <w:t>3.2 Recommended setting categories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05" w:type="dxa"/>
              <w:start w:w="125" w:type="dxa"/>
              <w:bottom w:w="105" w:type="dxa"/>
              <w:end w:w="125" w:type="dxa"/>
            </w:tcMar>
          </w:tcPr>
          <w:p>
            <w:r>
              <w:rPr>
                <w:b/>
                <w:color w:val="FFFFFF"/>
              </w:rPr>
              <w:t>Category</w:t>
            </w:r>
          </w:p>
        </w:tc>
        <w:tc>
          <w:tcPr>
            <w:tcW w:type="dxa" w:w="3389"/>
            <w:shd w:fill="17365D"/>
            <w:tcMar>
              <w:top w:w="105" w:type="dxa"/>
              <w:start w:w="125" w:type="dxa"/>
              <w:bottom w:w="105" w:type="dxa"/>
              <w:end w:w="125" w:type="dxa"/>
            </w:tcMar>
          </w:tcPr>
          <w:p>
            <w:r>
              <w:rPr>
                <w:b/>
                <w:color w:val="FFFFFF"/>
              </w:rPr>
              <w:t>Examples</w:t>
            </w:r>
          </w:p>
        </w:tc>
        <w:tc>
          <w:tcPr>
            <w:tcW w:type="dxa" w:w="3389"/>
            <w:shd w:fill="17365D"/>
            <w:tcMar>
              <w:top w:w="105" w:type="dxa"/>
              <w:start w:w="125" w:type="dxa"/>
              <w:bottom w:w="105" w:type="dxa"/>
              <w:end w:w="125" w:type="dxa"/>
            </w:tcMar>
          </w:tcPr>
          <w:p>
            <w:r>
              <w:rPr>
                <w:b/>
                <w:color w:val="FFFFFF"/>
              </w:rPr>
              <w:t>Design note</w:t>
            </w:r>
          </w:p>
        </w:tc>
      </w:tr>
      <w:tr>
        <w:tc>
          <w:tcPr>
            <w:tcW w:type="dxa" w:w="3389"/>
            <w:tcMar>
              <w:top w:w="105" w:type="dxa"/>
              <w:start w:w="125" w:type="dxa"/>
              <w:bottom w:w="105" w:type="dxa"/>
              <w:end w:w="125" w:type="dxa"/>
            </w:tcMar>
            <w:vAlign w:val="center"/>
          </w:tcPr>
          <w:p>
            <w:r>
              <w:t>Device Health</w:t>
            </w:r>
          </w:p>
        </w:tc>
        <w:tc>
          <w:tcPr>
            <w:tcW w:type="dxa" w:w="3389"/>
            <w:tcMar>
              <w:top w:w="105" w:type="dxa"/>
              <w:start w:w="125" w:type="dxa"/>
              <w:bottom w:w="105" w:type="dxa"/>
              <w:end w:w="125" w:type="dxa"/>
            </w:tcMar>
            <w:vAlign w:val="center"/>
          </w:tcPr>
          <w:p>
            <w:r>
              <w:t>BitLocker, Secure Boot, code integrity</w:t>
            </w:r>
          </w:p>
        </w:tc>
        <w:tc>
          <w:tcPr>
            <w:tcW w:type="dxa" w:w="3389"/>
            <w:tcMar>
              <w:top w:w="105" w:type="dxa"/>
              <w:start w:w="125" w:type="dxa"/>
              <w:bottom w:w="105" w:type="dxa"/>
              <w:end w:w="125" w:type="dxa"/>
            </w:tcMar>
            <w:vAlign w:val="center"/>
          </w:tcPr>
          <w:p>
            <w:r>
              <w:t>Validate hardware/edition support</w:t>
            </w:r>
          </w:p>
        </w:tc>
      </w:tr>
      <w:tr>
        <w:tc>
          <w:tcPr>
            <w:tcW w:type="dxa" w:w="3389"/>
            <w:tcMar>
              <w:top w:w="105" w:type="dxa"/>
              <w:start w:w="125" w:type="dxa"/>
              <w:bottom w:w="105" w:type="dxa"/>
              <w:end w:w="125" w:type="dxa"/>
            </w:tcMar>
            <w:vAlign w:val="center"/>
          </w:tcPr>
          <w:p>
            <w:r>
              <w:t>Device Properties</w:t>
            </w:r>
          </w:p>
        </w:tc>
        <w:tc>
          <w:tcPr>
            <w:tcW w:type="dxa" w:w="3389"/>
            <w:tcMar>
              <w:top w:w="105" w:type="dxa"/>
              <w:start w:w="125" w:type="dxa"/>
              <w:bottom w:w="105" w:type="dxa"/>
              <w:end w:w="125" w:type="dxa"/>
            </w:tcMar>
            <w:vAlign w:val="center"/>
          </w:tcPr>
          <w:p>
            <w:r>
              <w:t>Minimum and maximum OS versions</w:t>
            </w:r>
          </w:p>
        </w:tc>
        <w:tc>
          <w:tcPr>
            <w:tcW w:type="dxa" w:w="3389"/>
            <w:tcMar>
              <w:top w:w="105" w:type="dxa"/>
              <w:start w:w="125" w:type="dxa"/>
              <w:bottom w:w="105" w:type="dxa"/>
              <w:end w:w="125" w:type="dxa"/>
            </w:tcMar>
            <w:vAlign w:val="center"/>
          </w:tcPr>
          <w:p>
            <w:r>
              <w:t>Avoid sudden lockout during feature rollouts</w:t>
            </w:r>
          </w:p>
        </w:tc>
      </w:tr>
      <w:tr>
        <w:tc>
          <w:tcPr>
            <w:tcW w:type="dxa" w:w="3389"/>
            <w:tcMar>
              <w:top w:w="105" w:type="dxa"/>
              <w:start w:w="125" w:type="dxa"/>
              <w:bottom w:w="105" w:type="dxa"/>
              <w:end w:w="125" w:type="dxa"/>
            </w:tcMar>
            <w:vAlign w:val="center"/>
          </w:tcPr>
          <w:p>
            <w:r>
              <w:t>Configuration Manager compliance</w:t>
            </w:r>
          </w:p>
        </w:tc>
        <w:tc>
          <w:tcPr>
            <w:tcW w:type="dxa" w:w="3389"/>
            <w:tcMar>
              <w:top w:w="105" w:type="dxa"/>
              <w:start w:w="125" w:type="dxa"/>
              <w:bottom w:w="105" w:type="dxa"/>
              <w:end w:w="125" w:type="dxa"/>
            </w:tcMar>
            <w:vAlign w:val="center"/>
          </w:tcPr>
          <w:p>
            <w:r>
              <w:t>Co-management compliance signal</w:t>
            </w:r>
          </w:p>
        </w:tc>
        <w:tc>
          <w:tcPr>
            <w:tcW w:type="dxa" w:w="3389"/>
            <w:tcMar>
              <w:top w:w="105" w:type="dxa"/>
              <w:start w:w="125" w:type="dxa"/>
              <w:bottom w:w="105" w:type="dxa"/>
              <w:end w:w="125" w:type="dxa"/>
            </w:tcMar>
            <w:vAlign w:val="center"/>
          </w:tcPr>
          <w:p>
            <w:r>
              <w:t>Use only in supported co-managed design</w:t>
            </w:r>
          </w:p>
        </w:tc>
      </w:tr>
      <w:tr>
        <w:tc>
          <w:tcPr>
            <w:tcW w:type="dxa" w:w="3389"/>
            <w:tcMar>
              <w:top w:w="105" w:type="dxa"/>
              <w:start w:w="125" w:type="dxa"/>
              <w:bottom w:w="105" w:type="dxa"/>
              <w:end w:w="125" w:type="dxa"/>
            </w:tcMar>
            <w:vAlign w:val="center"/>
          </w:tcPr>
          <w:p>
            <w:r>
              <w:t>System Security</w:t>
            </w:r>
          </w:p>
        </w:tc>
        <w:tc>
          <w:tcPr>
            <w:tcW w:type="dxa" w:w="3389"/>
            <w:tcMar>
              <w:top w:w="105" w:type="dxa"/>
              <w:start w:w="125" w:type="dxa"/>
              <w:bottom w:w="105" w:type="dxa"/>
              <w:end w:w="125" w:type="dxa"/>
            </w:tcMar>
            <w:vAlign w:val="center"/>
          </w:tcPr>
          <w:p>
            <w:r>
              <w:t>Firewall, TPM, antivirus, antispyware</w:t>
            </w:r>
          </w:p>
        </w:tc>
        <w:tc>
          <w:tcPr>
            <w:tcW w:type="dxa" w:w="3389"/>
            <w:tcMar>
              <w:top w:w="105" w:type="dxa"/>
              <w:start w:w="125" w:type="dxa"/>
              <w:bottom w:w="105" w:type="dxa"/>
              <w:end w:w="125" w:type="dxa"/>
            </w:tcMar>
            <w:vAlign w:val="center"/>
          </w:tcPr>
          <w:p>
            <w:r>
              <w:t>Ensure remediation policy exists</w:t>
            </w:r>
          </w:p>
        </w:tc>
      </w:tr>
      <w:tr>
        <w:tc>
          <w:tcPr>
            <w:tcW w:type="dxa" w:w="3389"/>
            <w:tcMar>
              <w:top w:w="105" w:type="dxa"/>
              <w:start w:w="125" w:type="dxa"/>
              <w:bottom w:w="105" w:type="dxa"/>
              <w:end w:w="125" w:type="dxa"/>
            </w:tcMar>
            <w:vAlign w:val="center"/>
          </w:tcPr>
          <w:p>
            <w:r>
              <w:t>Microsoft Defender for Endpoint</w:t>
            </w:r>
          </w:p>
        </w:tc>
        <w:tc>
          <w:tcPr>
            <w:tcW w:type="dxa" w:w="3389"/>
            <w:tcMar>
              <w:top w:w="105" w:type="dxa"/>
              <w:start w:w="125" w:type="dxa"/>
              <w:bottom w:w="105" w:type="dxa"/>
              <w:end w:w="125" w:type="dxa"/>
            </w:tcMar>
            <w:vAlign w:val="center"/>
          </w:tcPr>
          <w:p>
            <w:r>
              <w:t>Machine risk score</w:t>
            </w:r>
          </w:p>
        </w:tc>
        <w:tc>
          <w:tcPr>
            <w:tcW w:type="dxa" w:w="3389"/>
            <w:tcMar>
              <w:top w:w="105" w:type="dxa"/>
              <w:start w:w="125" w:type="dxa"/>
              <w:bottom w:w="105" w:type="dxa"/>
              <w:end w:w="125" w:type="dxa"/>
            </w:tcMar>
            <w:vAlign w:val="center"/>
          </w:tcPr>
          <w:p>
            <w:r>
              <w:t>Requires MDE integration and licensing</w:t>
            </w:r>
          </w:p>
        </w:tc>
      </w:tr>
      <w:tr>
        <w:tc>
          <w:tcPr>
            <w:tcW w:type="dxa" w:w="3389"/>
            <w:tcMar>
              <w:top w:w="105" w:type="dxa"/>
              <w:start w:w="125" w:type="dxa"/>
              <w:bottom w:w="105" w:type="dxa"/>
              <w:end w:w="125" w:type="dxa"/>
            </w:tcMar>
            <w:vAlign w:val="center"/>
          </w:tcPr>
          <w:p>
            <w:r>
              <w:t>Windows Hello / password</w:t>
            </w:r>
          </w:p>
        </w:tc>
        <w:tc>
          <w:tcPr>
            <w:tcW w:type="dxa" w:w="3389"/>
            <w:tcMar>
              <w:top w:w="105" w:type="dxa"/>
              <w:start w:w="125" w:type="dxa"/>
              <w:bottom w:w="105" w:type="dxa"/>
              <w:end w:w="125" w:type="dxa"/>
            </w:tcMar>
            <w:vAlign w:val="center"/>
          </w:tcPr>
          <w:p>
            <w:r>
              <w:t>Password and simple password requirements where applicable</w:t>
            </w:r>
          </w:p>
        </w:tc>
        <w:tc>
          <w:tcPr>
            <w:tcW w:type="dxa" w:w="3389"/>
            <w:tcMar>
              <w:top w:w="105" w:type="dxa"/>
              <w:start w:w="125" w:type="dxa"/>
              <w:bottom w:w="105" w:type="dxa"/>
              <w:end w:w="125" w:type="dxa"/>
            </w:tcMar>
            <w:vAlign w:val="center"/>
          </w:tcPr>
          <w:p>
            <w:r>
              <w:t>Modern authentication design may reduce password-policy relevance</w:t>
            </w:r>
          </w:p>
        </w:tc>
      </w:tr>
    </w:tbl>
    <w:p>
      <w:pPr>
        <w:pStyle w:val="Heading2"/>
      </w:pPr>
      <w:r>
        <w:t>3.3 Actions for noncompliance</w:t>
      </w:r>
    </w:p>
    <w:p>
      <w:pPr>
        <w:pStyle w:val="ListBullet"/>
      </w:pPr>
      <w:r>
        <w:t>Keep the default Mark device noncompliant action.</w:t>
      </w:r>
    </w:p>
    <w:p>
      <w:pPr>
        <w:pStyle w:val="ListBullet"/>
      </w:pPr>
      <w:r>
        <w:t>Set schedule based on risk and rollout plan.</w:t>
      </w:r>
    </w:p>
    <w:p>
      <w:pPr>
        <w:pStyle w:val="ListBullet"/>
      </w:pPr>
      <w:r>
        <w:t>Add Send email to end user after creating the notification template.</w:t>
      </w:r>
    </w:p>
    <w:p>
      <w:pPr>
        <w:pStyle w:val="ListBullet"/>
      </w:pPr>
      <w:r>
        <w:t>Add remotely lock or retire actions only where supported and formally approved.</w:t>
      </w:r>
    </w:p>
    <w:p>
      <w:pPr>
        <w:pStyle w:val="ListBullet"/>
      </w:pPr>
      <w:r>
        <w:t>Use a grace period for production rollout when users need time to remediate.</w:t>
      </w:r>
    </w:p>
    <w:p>
      <w:pPr>
        <w:pStyle w:val="Heading2"/>
      </w:pPr>
      <w:r>
        <w:t>3.4 Assignments</w:t>
      </w:r>
    </w:p>
    <w:p>
      <w:pPr>
        <w:pStyle w:val="ListBullet"/>
      </w:pPr>
      <w:r>
        <w:t>Apply Scope tags if RBAC requires them.</w:t>
      </w:r>
    </w:p>
    <w:p>
      <w:pPr>
        <w:pStyle w:val="ListBullet"/>
      </w:pPr>
      <w:r>
        <w:t>Assign first to a small pilot user/device group.</w:t>
      </w:r>
    </w:p>
    <w:p>
      <w:pPr>
        <w:pStyle w:val="ListBullet"/>
      </w:pPr>
      <w:r>
        <w:t>Use exclusions for emergency access or documented technical exceptions.</w:t>
      </w:r>
    </w:p>
    <w:p>
      <w:pPr>
        <w:pStyle w:val="ListBullet"/>
      </w:pPr>
      <w:r>
        <w:t>Review and Create.</w:t>
      </w:r>
    </w:p>
    <w:p>
      <w:pPr>
        <w:pStyle w:val="ListBullet"/>
      </w:pPr>
      <w:r>
        <w:t>Monitor policy evaluation before connecting enforcement.</w:t>
      </w:r>
    </w:p>
    <w:p>
      <w:pPr>
        <w:jc w:val="center"/>
      </w:pPr>
      <w:r>
        <w:drawing>
          <wp:inline xmlns:a="http://schemas.openxmlformats.org/drawingml/2006/main" xmlns:pic="http://schemas.openxmlformats.org/drawingml/2006/picture">
            <wp:extent cx="6263640" cy="3310641"/>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6263640" cy="3310641"/>
                    </a:xfrm>
                    <a:prstGeom prst="rect"/>
                  </pic:spPr>
                </pic:pic>
              </a:graphicData>
            </a:graphic>
          </wp:inline>
        </w:drawing>
      </w:r>
    </w:p>
    <w:p>
      <w:pPr>
        <w:pStyle w:val="Cap"/>
        <w:jc w:val="center"/>
      </w:pPr>
      <w:r>
        <w:t>Figure 7. Device policy status and compliance reporting navigation.</w:t>
      </w:r>
    </w:p>
    <w:p>
      <w:r>
        <w:br w:type="page"/>
      </w:r>
    </w:p>
    <w:p>
      <w:pPr>
        <w:pStyle w:val="Title"/>
        <w:jc w:val="center"/>
      </w:pPr>
      <w:r>
        <w:t>4. Create Noncompliance Notification Template</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Compliance &gt; Notifications &gt; Create Notification</w:t>
            </w:r>
          </w:p>
        </w:tc>
      </w:tr>
    </w:tbl>
    <w:p/>
    <w:p>
      <w:pPr>
        <w:jc w:val="center"/>
      </w:pPr>
      <w:r>
        <w:drawing>
          <wp:inline xmlns:a="http://schemas.openxmlformats.org/drawingml/2006/main" xmlns:pic="http://schemas.openxmlformats.org/drawingml/2006/picture">
            <wp:extent cx="6263640" cy="2967196"/>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6263640" cy="2967196"/>
                    </a:xfrm>
                    <a:prstGeom prst="rect"/>
                  </pic:spPr>
                </pic:pic>
              </a:graphicData>
            </a:graphic>
          </wp:inline>
        </w:drawing>
      </w:r>
    </w:p>
    <w:p>
      <w:pPr>
        <w:pStyle w:val="Cap"/>
        <w:jc w:val="center"/>
      </w:pPr>
      <w:r>
        <w:t>Figure 8. Notifications list and Create notification entry point.</w:t>
      </w:r>
    </w:p>
    <w:p>
      <w:pPr>
        <w:jc w:val="center"/>
      </w:pPr>
      <w:r>
        <w:drawing>
          <wp:inline xmlns:a="http://schemas.openxmlformats.org/drawingml/2006/main" xmlns:pic="http://schemas.openxmlformats.org/drawingml/2006/picture">
            <wp:extent cx="6263640" cy="3898968"/>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6263640" cy="3898968"/>
                    </a:xfrm>
                    <a:prstGeom prst="rect"/>
                  </pic:spPr>
                </pic:pic>
              </a:graphicData>
            </a:graphic>
          </wp:inline>
        </w:drawing>
      </w:r>
    </w:p>
    <w:p>
      <w:pPr>
        <w:pStyle w:val="Cap"/>
        <w:jc w:val="center"/>
      </w:pPr>
      <w:r>
        <w:t>Figure 9. Notification Basics with template name.</w:t>
      </w:r>
    </w:p>
    <w:p>
      <w:pPr>
        <w:jc w:val="center"/>
      </w:pPr>
      <w:r>
        <w:drawing>
          <wp:inline xmlns:a="http://schemas.openxmlformats.org/drawingml/2006/main" xmlns:pic="http://schemas.openxmlformats.org/drawingml/2006/picture">
            <wp:extent cx="6263640" cy="4150658"/>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6263640" cy="4150658"/>
                    </a:xfrm>
                    <a:prstGeom prst="rect"/>
                  </pic:spPr>
                </pic:pic>
              </a:graphicData>
            </a:graphic>
          </wp:inline>
        </w:drawing>
      </w:r>
    </w:p>
    <w:p>
      <w:pPr>
        <w:pStyle w:val="Cap"/>
        <w:jc w:val="center"/>
      </w:pPr>
      <w:r>
        <w:t>Figure 10. Email header settings and tenant customization dependency.</w:t>
      </w:r>
    </w:p>
    <w:p>
      <w:pPr>
        <w:jc w:val="center"/>
      </w:pPr>
      <w:r>
        <w:drawing>
          <wp:inline xmlns:a="http://schemas.openxmlformats.org/drawingml/2006/main" xmlns:pic="http://schemas.openxmlformats.org/drawingml/2006/picture">
            <wp:extent cx="6263640" cy="4088271"/>
            <wp:docPr id="11" name="Picture 11"/>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6263640" cy="4088271"/>
                    </a:xfrm>
                    <a:prstGeom prst="rect"/>
                  </pic:spPr>
                </pic:pic>
              </a:graphicData>
            </a:graphic>
          </wp:inline>
        </w:drawing>
      </w:r>
    </w:p>
    <w:p>
      <w:pPr>
        <w:pStyle w:val="Cap"/>
        <w:jc w:val="center"/>
      </w:pPr>
      <w:r>
        <w:t>Figure 11. Email footer settings, company name, contact information, and portal link.</w:t>
      </w:r>
    </w:p>
    <w:p>
      <w:r>
        <w:br w:type="page"/>
      </w:r>
    </w:p>
    <w:p>
      <w:pPr>
        <w:jc w:val="center"/>
      </w:pPr>
      <w:r>
        <w:drawing>
          <wp:inline xmlns:a="http://schemas.openxmlformats.org/drawingml/2006/main" xmlns:pic="http://schemas.openxmlformats.org/drawingml/2006/picture">
            <wp:extent cx="6263640" cy="2856062"/>
            <wp:docPr id="12" name="Picture 12"/>
            <wp:cNvGraphicFramePr>
              <a:graphicFrameLocks noChangeAspect="1"/>
            </wp:cNvGraphicFramePr>
            <a:graphic>
              <a:graphicData uri="http://schemas.openxmlformats.org/drawingml/2006/picture">
                <pic:pic>
                  <pic:nvPicPr>
                    <pic:cNvPr id="0" name="image12.png"/>
                    <pic:cNvPicPr/>
                  </pic:nvPicPr>
                  <pic:blipFill>
                    <a:blip r:embed="rId22"/>
                    <a:stretch>
                      <a:fillRect/>
                    </a:stretch>
                  </pic:blipFill>
                  <pic:spPr>
                    <a:xfrm>
                      <a:off x="0" y="0"/>
                      <a:ext cx="6263640" cy="2856062"/>
                    </a:xfrm>
                    <a:prstGeom prst="rect"/>
                  </pic:spPr>
                </pic:pic>
              </a:graphicData>
            </a:graphic>
          </wp:inline>
        </w:drawing>
      </w:r>
    </w:p>
    <w:p>
      <w:pPr>
        <w:pStyle w:val="Cap"/>
        <w:jc w:val="center"/>
      </w:pPr>
      <w:r>
        <w:t>Figure 12. Notification message templates page with locale, subject, message, and default option.</w:t>
      </w:r>
    </w:p>
    <w:p>
      <w:pPr>
        <w:jc w:val="center"/>
      </w:pPr>
      <w:r>
        <w:drawing>
          <wp:inline xmlns:a="http://schemas.openxmlformats.org/drawingml/2006/main" xmlns:pic="http://schemas.openxmlformats.org/drawingml/2006/picture">
            <wp:extent cx="6263640" cy="3748664"/>
            <wp:docPr id="13" name="Picture 13"/>
            <wp:cNvGraphicFramePr>
              <a:graphicFrameLocks noChangeAspect="1"/>
            </wp:cNvGraphicFramePr>
            <a:graphic>
              <a:graphicData uri="http://schemas.openxmlformats.org/drawingml/2006/picture">
                <pic:pic>
                  <pic:nvPicPr>
                    <pic:cNvPr id="0" name="image13.png"/>
                    <pic:cNvPicPr/>
                  </pic:nvPicPr>
                  <pic:blipFill>
                    <a:blip r:embed="rId23"/>
                    <a:stretch>
                      <a:fillRect/>
                    </a:stretch>
                  </pic:blipFill>
                  <pic:spPr>
                    <a:xfrm>
                      <a:off x="0" y="0"/>
                      <a:ext cx="6263640" cy="3748664"/>
                    </a:xfrm>
                    <a:prstGeom prst="rect"/>
                  </pic:spPr>
                </pic:pic>
              </a:graphicData>
            </a:graphic>
          </wp:inline>
        </w:drawing>
      </w:r>
    </w:p>
    <w:p>
      <w:pPr>
        <w:pStyle w:val="Cap"/>
        <w:jc w:val="center"/>
      </w:pPr>
      <w:r>
        <w:t>Figure 13. Add localized notification message.</w:t>
      </w:r>
    </w:p>
    <w:p>
      <w:pPr>
        <w:pStyle w:val="Heading2"/>
      </w:pPr>
      <w:r>
        <w:t>4.1 Notification process</w:t>
      </w:r>
    </w:p>
    <w:p>
      <w:pPr>
        <w:pStyle w:val="ListBullet"/>
      </w:pPr>
      <w:r>
        <w:t>Enter a unique notification name.</w:t>
      </w:r>
    </w:p>
    <w:p>
      <w:pPr>
        <w:pStyle w:val="ListBullet"/>
      </w:pPr>
      <w:r>
        <w:t>Configure header and footer behavior.</w:t>
      </w:r>
    </w:p>
    <w:p>
      <w:pPr>
        <w:pStyle w:val="ListBullet"/>
      </w:pPr>
      <w:r>
        <w:t>Add at least one locale.</w:t>
      </w:r>
    </w:p>
    <w:p>
      <w:pPr>
        <w:pStyle w:val="ListBullet"/>
      </w:pPr>
      <w:r>
        <w:t>Enter a clear subject and message.</w:t>
      </w:r>
    </w:p>
    <w:p>
      <w:pPr>
        <w:pStyle w:val="ListBullet"/>
      </w:pPr>
      <w:r>
        <w:t>Explain why the device is noncompliant, what the user should do, the deadline, and support contact.</w:t>
      </w:r>
    </w:p>
    <w:p>
      <w:pPr>
        <w:pStyle w:val="ListBullet"/>
      </w:pPr>
      <w:r>
        <w:t>Set the default locale.</w:t>
      </w:r>
    </w:p>
    <w:p>
      <w:pPr>
        <w:pStyle w:val="ListBullet"/>
      </w:pPr>
      <w:r>
        <w:t>Review and Create.</w:t>
      </w:r>
    </w:p>
    <w:p>
      <w:pPr>
        <w:pStyle w:val="ListBullet"/>
      </w:pPr>
      <w:r>
        <w:t>Return to the compliance policy actions and select this template for Send email to end user.</w:t>
      </w:r>
    </w:p>
    <w:p>
      <w:pPr>
        <w:pStyle w:val="Heading2"/>
      </w:pPr>
      <w:r>
        <w:t>4.2 Communication standard</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05" w:type="dxa"/>
              <w:start w:w="125" w:type="dxa"/>
              <w:bottom w:w="105" w:type="dxa"/>
              <w:end w:w="125" w:type="dxa"/>
            </w:tcMar>
          </w:tcPr>
          <w:p>
            <w:r>
              <w:rPr>
                <w:b/>
                <w:color w:val="FFFFFF"/>
              </w:rPr>
              <w:t>Element</w:t>
            </w:r>
          </w:p>
        </w:tc>
        <w:tc>
          <w:tcPr>
            <w:tcW w:type="dxa" w:w="5083"/>
            <w:shd w:fill="17365D"/>
            <w:tcMar>
              <w:top w:w="105" w:type="dxa"/>
              <w:start w:w="125" w:type="dxa"/>
              <w:bottom w:w="105" w:type="dxa"/>
              <w:end w:w="125" w:type="dxa"/>
            </w:tcMar>
          </w:tcPr>
          <w:p>
            <w:r>
              <w:rPr>
                <w:b/>
                <w:color w:val="FFFFFF"/>
              </w:rPr>
              <w:t>Recommended content</w:t>
            </w:r>
          </w:p>
        </w:tc>
      </w:tr>
      <w:tr>
        <w:tc>
          <w:tcPr>
            <w:tcW w:type="dxa" w:w="5083"/>
            <w:tcMar>
              <w:top w:w="105" w:type="dxa"/>
              <w:start w:w="125" w:type="dxa"/>
              <w:bottom w:w="105" w:type="dxa"/>
              <w:end w:w="125" w:type="dxa"/>
            </w:tcMar>
            <w:vAlign w:val="center"/>
          </w:tcPr>
          <w:p>
            <w:r>
              <w:t>Subject</w:t>
            </w:r>
          </w:p>
        </w:tc>
        <w:tc>
          <w:tcPr>
            <w:tcW w:type="dxa" w:w="5083"/>
            <w:tcMar>
              <w:top w:w="105" w:type="dxa"/>
              <w:start w:w="125" w:type="dxa"/>
              <w:bottom w:w="105" w:type="dxa"/>
              <w:end w:w="125" w:type="dxa"/>
            </w:tcMar>
            <w:vAlign w:val="center"/>
          </w:tcPr>
          <w:p>
            <w:r>
              <w:t>Action required: Device does not meet security requirements</w:t>
            </w:r>
          </w:p>
        </w:tc>
      </w:tr>
      <w:tr>
        <w:tc>
          <w:tcPr>
            <w:tcW w:type="dxa" w:w="5083"/>
            <w:tcMar>
              <w:top w:w="105" w:type="dxa"/>
              <w:start w:w="125" w:type="dxa"/>
              <w:bottom w:w="105" w:type="dxa"/>
              <w:end w:w="125" w:type="dxa"/>
            </w:tcMar>
            <w:vAlign w:val="center"/>
          </w:tcPr>
          <w:p>
            <w:r>
              <w:t>Reason</w:t>
            </w:r>
          </w:p>
        </w:tc>
        <w:tc>
          <w:tcPr>
            <w:tcW w:type="dxa" w:w="5083"/>
            <w:tcMar>
              <w:top w:w="105" w:type="dxa"/>
              <w:start w:w="125" w:type="dxa"/>
              <w:bottom w:w="105" w:type="dxa"/>
              <w:end w:w="125" w:type="dxa"/>
            </w:tcMar>
            <w:vAlign w:val="center"/>
          </w:tcPr>
          <w:p>
            <w:r>
              <w:t>Use Intune noncompliance details; do not guess</w:t>
            </w:r>
          </w:p>
        </w:tc>
      </w:tr>
      <w:tr>
        <w:tc>
          <w:tcPr>
            <w:tcW w:type="dxa" w:w="5083"/>
            <w:tcMar>
              <w:top w:w="105" w:type="dxa"/>
              <w:start w:w="125" w:type="dxa"/>
              <w:bottom w:w="105" w:type="dxa"/>
              <w:end w:w="125" w:type="dxa"/>
            </w:tcMar>
            <w:vAlign w:val="center"/>
          </w:tcPr>
          <w:p>
            <w:r>
              <w:t>User action</w:t>
            </w:r>
          </w:p>
        </w:tc>
        <w:tc>
          <w:tcPr>
            <w:tcW w:type="dxa" w:w="5083"/>
            <w:tcMar>
              <w:top w:w="105" w:type="dxa"/>
              <w:start w:w="125" w:type="dxa"/>
              <w:bottom w:w="105" w:type="dxa"/>
              <w:end w:w="125" w:type="dxa"/>
            </w:tcMar>
            <w:vAlign w:val="center"/>
          </w:tcPr>
          <w:p>
            <w:r>
              <w:t>Sync device, connect to internet, enable required security, restart, or contact support</w:t>
            </w:r>
          </w:p>
        </w:tc>
      </w:tr>
      <w:tr>
        <w:tc>
          <w:tcPr>
            <w:tcW w:type="dxa" w:w="5083"/>
            <w:tcMar>
              <w:top w:w="105" w:type="dxa"/>
              <w:start w:w="125" w:type="dxa"/>
              <w:bottom w:w="105" w:type="dxa"/>
              <w:end w:w="125" w:type="dxa"/>
            </w:tcMar>
            <w:vAlign w:val="center"/>
          </w:tcPr>
          <w:p>
            <w:r>
              <w:t>Deadline</w:t>
            </w:r>
          </w:p>
        </w:tc>
        <w:tc>
          <w:tcPr>
            <w:tcW w:type="dxa" w:w="5083"/>
            <w:tcMar>
              <w:top w:w="105" w:type="dxa"/>
              <w:start w:w="125" w:type="dxa"/>
              <w:bottom w:w="105" w:type="dxa"/>
              <w:end w:w="125" w:type="dxa"/>
            </w:tcMar>
            <w:vAlign w:val="center"/>
          </w:tcPr>
          <w:p>
            <w:r>
              <w:t>Use policy grace deadline</w:t>
            </w:r>
          </w:p>
        </w:tc>
      </w:tr>
      <w:tr>
        <w:tc>
          <w:tcPr>
            <w:tcW w:type="dxa" w:w="5083"/>
            <w:tcMar>
              <w:top w:w="105" w:type="dxa"/>
              <w:start w:w="125" w:type="dxa"/>
              <w:bottom w:w="105" w:type="dxa"/>
              <w:end w:w="125" w:type="dxa"/>
            </w:tcMar>
            <w:vAlign w:val="center"/>
          </w:tcPr>
          <w:p>
            <w:r>
              <w:t>Support</w:t>
            </w:r>
          </w:p>
        </w:tc>
        <w:tc>
          <w:tcPr>
            <w:tcW w:type="dxa" w:w="5083"/>
            <w:tcMar>
              <w:top w:w="105" w:type="dxa"/>
              <w:start w:w="125" w:type="dxa"/>
              <w:bottom w:w="105" w:type="dxa"/>
              <w:end w:w="125" w:type="dxa"/>
            </w:tcMar>
            <w:vAlign w:val="center"/>
          </w:tcPr>
          <w:p>
            <w:r>
              <w:t>Service desk channel and ticket information</w:t>
            </w:r>
          </w:p>
        </w:tc>
      </w:tr>
      <w:tr>
        <w:tc>
          <w:tcPr>
            <w:tcW w:type="dxa" w:w="5083"/>
            <w:tcMar>
              <w:top w:w="105" w:type="dxa"/>
              <w:start w:w="125" w:type="dxa"/>
              <w:bottom w:w="105" w:type="dxa"/>
              <w:end w:w="125" w:type="dxa"/>
            </w:tcMar>
            <w:vAlign w:val="center"/>
          </w:tcPr>
          <w:p>
            <w:r>
              <w:t>Security</w:t>
            </w:r>
          </w:p>
        </w:tc>
        <w:tc>
          <w:tcPr>
            <w:tcW w:type="dxa" w:w="5083"/>
            <w:tcMar>
              <w:top w:w="105" w:type="dxa"/>
              <w:start w:w="125" w:type="dxa"/>
              <w:bottom w:w="105" w:type="dxa"/>
              <w:end w:w="125" w:type="dxa"/>
            </w:tcMar>
            <w:vAlign w:val="center"/>
          </w:tcPr>
          <w:p>
            <w:r>
              <w:t>Never request password or sensitive authentication data</w:t>
            </w:r>
          </w:p>
        </w:tc>
      </w:tr>
    </w:tbl>
    <w:p>
      <w:r>
        <w:br w:type="page"/>
      </w:r>
    </w:p>
    <w:p>
      <w:pPr>
        <w:pStyle w:val="Title"/>
        <w:jc w:val="center"/>
      </w:pPr>
      <w:r>
        <w:t>5. Review Existing Policy, Tenant Settings, and Retire Rules</w:t>
      </w:r>
    </w:p>
    <w:p>
      <w:pPr>
        <w:jc w:val="center"/>
      </w:pPr>
      <w:r>
        <w:drawing>
          <wp:inline xmlns:a="http://schemas.openxmlformats.org/drawingml/2006/main" xmlns:pic="http://schemas.openxmlformats.org/drawingml/2006/picture">
            <wp:extent cx="6263640" cy="3728252"/>
            <wp:docPr id="14" name="Picture 14"/>
            <wp:cNvGraphicFramePr>
              <a:graphicFrameLocks noChangeAspect="1"/>
            </wp:cNvGraphicFramePr>
            <a:graphic>
              <a:graphicData uri="http://schemas.openxmlformats.org/drawingml/2006/picture">
                <pic:pic>
                  <pic:nvPicPr>
                    <pic:cNvPr id="0" name="image14.png"/>
                    <pic:cNvPicPr/>
                  </pic:nvPicPr>
                  <pic:blipFill>
                    <a:blip r:embed="rId24"/>
                    <a:stretch>
                      <a:fillRect/>
                    </a:stretch>
                  </pic:blipFill>
                  <pic:spPr>
                    <a:xfrm>
                      <a:off x="0" y="0"/>
                      <a:ext cx="6263640" cy="3728252"/>
                    </a:xfrm>
                    <a:prstGeom prst="rect"/>
                  </pic:spPr>
                </pic:pic>
              </a:graphicData>
            </a:graphic>
          </wp:inline>
        </w:drawing>
      </w:r>
    </w:p>
    <w:p>
      <w:pPr>
        <w:pStyle w:val="Cap"/>
        <w:jc w:val="center"/>
      </w:pPr>
      <w:r>
        <w:t>Figure 14. Windows Compliance System Security settings including Firewall and TPM.</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Compliance &gt; Compliance settings</w:t>
            </w:r>
          </w:p>
        </w:tc>
      </w:tr>
    </w:tbl>
    <w:p/>
    <w:p>
      <w:pPr>
        <w:jc w:val="center"/>
      </w:pPr>
      <w:r>
        <w:drawing>
          <wp:inline xmlns:a="http://schemas.openxmlformats.org/drawingml/2006/main" xmlns:pic="http://schemas.openxmlformats.org/drawingml/2006/picture">
            <wp:extent cx="6263640" cy="3868129"/>
            <wp:docPr id="15" name="Picture 15"/>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6263640" cy="3868129"/>
                    </a:xfrm>
                    <a:prstGeom prst="rect"/>
                  </pic:spPr>
                </pic:pic>
              </a:graphicData>
            </a:graphic>
          </wp:inline>
        </w:drawing>
      </w:r>
    </w:p>
    <w:p>
      <w:pPr>
        <w:pStyle w:val="Cap"/>
        <w:jc w:val="center"/>
      </w:pPr>
      <w:r>
        <w:t>Figure 15. Compliance settings area.</w:t>
      </w:r>
    </w:p>
    <w:p>
      <w:pPr>
        <w:jc w:val="center"/>
      </w:pPr>
      <w:r>
        <w:drawing>
          <wp:inline xmlns:a="http://schemas.openxmlformats.org/drawingml/2006/main" xmlns:pic="http://schemas.openxmlformats.org/drawingml/2006/picture">
            <wp:extent cx="6263640" cy="3881350"/>
            <wp:docPr id="16" name="Picture 16"/>
            <wp:cNvGraphicFramePr>
              <a:graphicFrameLocks noChangeAspect="1"/>
            </wp:cNvGraphicFramePr>
            <a:graphic>
              <a:graphicData uri="http://schemas.openxmlformats.org/drawingml/2006/picture">
                <pic:pic>
                  <pic:nvPicPr>
                    <pic:cNvPr id="0" name="image16.png"/>
                    <pic:cNvPicPr/>
                  </pic:nvPicPr>
                  <pic:blipFill>
                    <a:blip r:embed="rId26"/>
                    <a:stretch>
                      <a:fillRect/>
                    </a:stretch>
                  </pic:blipFill>
                  <pic:spPr>
                    <a:xfrm>
                      <a:off x="0" y="0"/>
                      <a:ext cx="6263640" cy="3881350"/>
                    </a:xfrm>
                    <a:prstGeom prst="rect"/>
                  </pic:spPr>
                </pic:pic>
              </a:graphicData>
            </a:graphic>
          </wp:inline>
        </w:drawing>
      </w:r>
    </w:p>
    <w:p>
      <w:pPr>
        <w:pStyle w:val="Cap"/>
        <w:jc w:val="center"/>
      </w:pPr>
      <w:r>
        <w:t>Figure 16. Compliance settings configuration and device query view.</w:t>
      </w:r>
    </w:p>
    <w:p>
      <w:pPr>
        <w:pStyle w:val="Heading2"/>
      </w:pPr>
      <w:r>
        <w:t>5.1 Mark devices with no policy assigned</w:t>
      </w:r>
    </w:p>
    <w:p>
      <w:pPr>
        <w:pStyle w:val="ListBullet"/>
      </w:pPr>
      <w:r>
        <w:t>Review this tenant-wide compliance setting.</w:t>
      </w:r>
    </w:p>
    <w:p>
      <w:pPr>
        <w:pStyle w:val="ListBullet"/>
      </w:pPr>
      <w:r>
        <w:t>During production enforcement, consider marking devices without a compliance policy as noncompliant after validating assignment coverage.</w:t>
      </w:r>
    </w:p>
    <w:p>
      <w:pPr>
        <w:pStyle w:val="ListBullet"/>
      </w:pPr>
      <w:r>
        <w:t>Before changing, report devices without policies and correct gaps.</w:t>
      </w:r>
    </w:p>
    <w:p>
      <w:pPr>
        <w:pStyle w:val="ListBullet"/>
      </w:pPr>
      <w:r>
        <w:t>Use change control because this can affect Conditional Access.</w:t>
      </w:r>
    </w:p>
    <w:p>
      <w:pPr>
        <w:pStyle w:val="Heading2"/>
      </w:pPr>
      <w:r>
        <w:t>5.2 Enhanced jailbreak/root and validity settings</w:t>
      </w:r>
    </w:p>
    <w:p>
      <w:pPr>
        <w:pStyle w:val="ListBullet"/>
      </w:pPr>
      <w:r>
        <w:t>Review each platform-specific tenant setting.</w:t>
      </w:r>
    </w:p>
    <w:p>
      <w:pPr>
        <w:pStyle w:val="ListBullet"/>
      </w:pPr>
      <w:r>
        <w:t>Apply only after confirming platform support and operational impact.</w:t>
      </w:r>
    </w:p>
    <w:p>
      <w:pPr>
        <w:pStyle w:val="ListBullet"/>
      </w:pPr>
      <w:r>
        <w:t>Document owner and rationale.</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Compliance &gt; Retire noncompliant devices</w:t>
            </w:r>
          </w:p>
        </w:tc>
      </w:tr>
    </w:tbl>
    <w:p/>
    <w:p>
      <w:pPr>
        <w:jc w:val="center"/>
      </w:pPr>
      <w:r>
        <w:drawing>
          <wp:inline xmlns:a="http://schemas.openxmlformats.org/drawingml/2006/main" xmlns:pic="http://schemas.openxmlformats.org/drawingml/2006/picture">
            <wp:extent cx="6263640" cy="3884270"/>
            <wp:docPr id="17" name="Picture 17"/>
            <wp:cNvGraphicFramePr>
              <a:graphicFrameLocks noChangeAspect="1"/>
            </wp:cNvGraphicFramePr>
            <a:graphic>
              <a:graphicData uri="http://schemas.openxmlformats.org/drawingml/2006/picture">
                <pic:pic>
                  <pic:nvPicPr>
                    <pic:cNvPr id="0" name="image17.png"/>
                    <pic:cNvPicPr/>
                  </pic:nvPicPr>
                  <pic:blipFill>
                    <a:blip r:embed="rId27"/>
                    <a:stretch>
                      <a:fillRect/>
                    </a:stretch>
                  </pic:blipFill>
                  <pic:spPr>
                    <a:xfrm>
                      <a:off x="0" y="0"/>
                      <a:ext cx="6263640" cy="3884270"/>
                    </a:xfrm>
                    <a:prstGeom prst="rect"/>
                  </pic:spPr>
                </pic:pic>
              </a:graphicData>
            </a:graphic>
          </wp:inline>
        </w:drawing>
      </w:r>
    </w:p>
    <w:p>
      <w:pPr>
        <w:pStyle w:val="Cap"/>
        <w:jc w:val="center"/>
      </w:pPr>
      <w:r>
        <w:t>Figure 17. Retire noncompliant devices workflow.</w:t>
      </w:r>
    </w:p>
    <w:p>
      <w:pPr>
        <w:jc w:val="center"/>
      </w:pPr>
      <w:r>
        <w:drawing>
          <wp:inline xmlns:a="http://schemas.openxmlformats.org/drawingml/2006/main" xmlns:pic="http://schemas.openxmlformats.org/drawingml/2006/picture">
            <wp:extent cx="6263640" cy="2229775"/>
            <wp:docPr id="18" name="Picture 18"/>
            <wp:cNvGraphicFramePr>
              <a:graphicFrameLocks noChangeAspect="1"/>
            </wp:cNvGraphicFramePr>
            <a:graphic>
              <a:graphicData uri="http://schemas.openxmlformats.org/drawingml/2006/picture">
                <pic:pic>
                  <pic:nvPicPr>
                    <pic:cNvPr id="0" name="image18.png"/>
                    <pic:cNvPicPr/>
                  </pic:nvPicPr>
                  <pic:blipFill>
                    <a:blip r:embed="rId28"/>
                    <a:stretch>
                      <a:fillRect/>
                    </a:stretch>
                  </pic:blipFill>
                  <pic:spPr>
                    <a:xfrm>
                      <a:off x="0" y="0"/>
                      <a:ext cx="6263640" cy="2229775"/>
                    </a:xfrm>
                    <a:prstGeom prst="rect"/>
                  </pic:spPr>
                </pic:pic>
              </a:graphicData>
            </a:graphic>
          </wp:inline>
        </w:drawing>
      </w:r>
    </w:p>
    <w:p>
      <w:pPr>
        <w:pStyle w:val="Cap"/>
        <w:jc w:val="center"/>
      </w:pPr>
      <w:r>
        <w:t>Figure 18. Retire noncompliant devices configuration reference.</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High-impact action</w:t>
              <w:br/>
            </w:r>
            <w:r>
              <w:t>Automatic retirement can remove organizational access and data. Use only after legal, security, HR, service desk, device ownership, and user communication requirements are approved.</w:t>
            </w:r>
          </w:p>
        </w:tc>
      </w:tr>
    </w:tbl>
    <w:p/>
    <w:p>
      <w:r>
        <w:br w:type="page"/>
      </w:r>
    </w:p>
    <w:p>
      <w:pPr>
        <w:pStyle w:val="Title"/>
        <w:jc w:val="center"/>
      </w:pPr>
      <w:r>
        <w:t>6. Custom Compliance: PowerShell Discovery and JSON Rules</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Compliance &gt; Scripts &gt; Create</w:t>
            </w:r>
          </w:p>
        </w:tc>
      </w:tr>
    </w:tbl>
    <w:p/>
    <w:p>
      <w:pPr>
        <w:jc w:val="center"/>
      </w:pPr>
      <w:r>
        <w:drawing>
          <wp:inline xmlns:a="http://schemas.openxmlformats.org/drawingml/2006/main" xmlns:pic="http://schemas.openxmlformats.org/drawingml/2006/picture">
            <wp:extent cx="6263640" cy="3825965"/>
            <wp:docPr id="19" name="Picture 19"/>
            <wp:cNvGraphicFramePr>
              <a:graphicFrameLocks noChangeAspect="1"/>
            </wp:cNvGraphicFramePr>
            <a:graphic>
              <a:graphicData uri="http://schemas.openxmlformats.org/drawingml/2006/picture">
                <pic:pic>
                  <pic:nvPicPr>
                    <pic:cNvPr id="0" name="image19.png"/>
                    <pic:cNvPicPr/>
                  </pic:nvPicPr>
                  <pic:blipFill>
                    <a:blip r:embed="rId29"/>
                    <a:stretch>
                      <a:fillRect/>
                    </a:stretch>
                  </pic:blipFill>
                  <pic:spPr>
                    <a:xfrm>
                      <a:off x="0" y="0"/>
                      <a:ext cx="6263640" cy="3825965"/>
                    </a:xfrm>
                    <a:prstGeom prst="rect"/>
                  </pic:spPr>
                </pic:pic>
              </a:graphicData>
            </a:graphic>
          </wp:inline>
        </w:drawing>
      </w:r>
    </w:p>
    <w:p>
      <w:pPr>
        <w:pStyle w:val="Cap"/>
        <w:jc w:val="center"/>
      </w:pPr>
      <w:r>
        <w:t>Figure 19. Create custom script Basics page.</w:t>
      </w:r>
    </w:p>
    <w:p>
      <w:pPr>
        <w:jc w:val="center"/>
      </w:pPr>
      <w:r>
        <w:drawing>
          <wp:inline xmlns:a="http://schemas.openxmlformats.org/drawingml/2006/main" xmlns:pic="http://schemas.openxmlformats.org/drawingml/2006/picture">
            <wp:extent cx="6263640" cy="4186459"/>
            <wp:docPr id="20" name="Picture 20"/>
            <wp:cNvGraphicFramePr>
              <a:graphicFrameLocks noChangeAspect="1"/>
            </wp:cNvGraphicFramePr>
            <a:graphic>
              <a:graphicData uri="http://schemas.openxmlformats.org/drawingml/2006/picture">
                <pic:pic>
                  <pic:nvPicPr>
                    <pic:cNvPr id="0" name="image20.png"/>
                    <pic:cNvPicPr/>
                  </pic:nvPicPr>
                  <pic:blipFill>
                    <a:blip r:embed="rId30"/>
                    <a:stretch>
                      <a:fillRect/>
                    </a:stretch>
                  </pic:blipFill>
                  <pic:spPr>
                    <a:xfrm>
                      <a:off x="0" y="0"/>
                      <a:ext cx="6263640" cy="4186459"/>
                    </a:xfrm>
                    <a:prstGeom prst="rect"/>
                  </pic:spPr>
                </pic:pic>
              </a:graphicData>
            </a:graphic>
          </wp:inline>
        </w:drawing>
      </w:r>
    </w:p>
    <w:p>
      <w:pPr>
        <w:pStyle w:val="Cap"/>
        <w:jc w:val="center"/>
      </w:pPr>
      <w:r>
        <w:t>Figure 20. Upload detection script and configure execution settings.</w:t>
      </w:r>
    </w:p>
    <w:p>
      <w:pPr>
        <w:pStyle w:val="Heading2"/>
      </w:pPr>
      <w:r>
        <w:t>6.1 How custom compliance works</w:t>
      </w:r>
    </w:p>
    <w:p>
      <w:pPr>
        <w:pStyle w:val="ListBullet"/>
      </w:pPr>
      <w:r>
        <w:t>A PowerShell discovery script runs on Windows.</w:t>
      </w:r>
    </w:p>
    <w:p>
      <w:pPr>
        <w:pStyle w:val="ListBullet"/>
      </w:pPr>
      <w:r>
        <w:t>The script outputs discovered settings as compressed JSON.</w:t>
      </w:r>
    </w:p>
    <w:p>
      <w:pPr>
        <w:pStyle w:val="ListBullet"/>
      </w:pPr>
      <w:r>
        <w:t>A JSON rules file defines expected values, operators, data types, and user remediation messages.</w:t>
      </w:r>
    </w:p>
    <w:p>
      <w:pPr>
        <w:pStyle w:val="ListBullet"/>
      </w:pPr>
      <w:r>
        <w:t>Intune compares discovery output with rules.</w:t>
      </w:r>
    </w:p>
    <w:p>
      <w:pPr>
        <w:pStyle w:val="ListBullet"/>
      </w:pPr>
      <w:r>
        <w:t>Custom and built-in settings contribute to the final device compliance state.</w:t>
      </w:r>
    </w:p>
    <w:p>
      <w:pPr>
        <w:pStyle w:val="Heading2"/>
      </w:pPr>
      <w:r>
        <w:t>6.2 Example discovery script</w:t>
      </w:r>
    </w:p>
    <w:tbl>
      <w:tblPr>
        <w:tblW w:type="auto" w:w="0"/>
        <w:tblLook w:firstColumn="1" w:firstRow="1" w:lastColumn="0" w:lastRow="0" w:noHBand="0" w:noVBand="1" w:val="04A0"/>
      </w:tblPr>
      <w:tblGrid>
        <w:gridCol w:w="10166"/>
      </w:tblGrid>
      <w:tr>
        <w:tc>
          <w:tcPr>
            <w:tcW w:type="dxa" w:w="10166"/>
            <w:shd w:fill="1E1E1E"/>
            <w:tcMar>
              <w:top w:w="135" w:type="dxa"/>
              <w:start w:w="155" w:type="dxa"/>
              <w:bottom w:w="135" w:type="dxa"/>
              <w:end w:w="155" w:type="dxa"/>
            </w:tcMar>
          </w:tcPr>
          <w:p>
            <w:pPr>
              <w:pStyle w:val="Code"/>
            </w:pPr>
            <w:r/>
            <w:r>
              <w:t>$result = @{</w:t>
            </w:r>
          </w:p>
          <w:p>
            <w:pPr>
              <w:pStyle w:val="Code"/>
            </w:pPr>
            <w:r>
              <w:t xml:space="preserve">  BitLockerProtected = ((Get-BitLockerVolume -MountPoint $env:SystemDrive).ProtectionStatus -eq "On")</w:t>
            </w:r>
          </w:p>
          <w:p>
            <w:pPr>
              <w:pStyle w:val="Code"/>
            </w:pPr>
            <w:r>
              <w:t xml:space="preserve">  FirewallEnabled = ((Get-NetFirewallProfile | Where-Object {$_.Enabled -eq $false}).Count -eq 0)</w:t>
            </w:r>
          </w:p>
          <w:p>
            <w:pPr>
              <w:pStyle w:val="Code"/>
            </w:pPr>
            <w:r>
              <w:t>}</w:t>
            </w:r>
          </w:p>
          <w:p>
            <w:pPr>
              <w:pStyle w:val="Code"/>
            </w:pPr>
            <w:r>
              <w:t>return $result | ConvertTo-Json -Compress</w:t>
            </w:r>
          </w:p>
        </w:tc>
      </w:tr>
    </w:tbl>
    <w:p/>
    <w:p>
      <w:pPr>
        <w:pStyle w:val="Heading2"/>
      </w:pPr>
      <w:r>
        <w:t>6.3 Safe deployment</w:t>
      </w:r>
    </w:p>
    <w:p>
      <w:pPr>
        <w:pStyle w:val="ListBullet"/>
      </w:pPr>
      <w:r>
        <w:t>Test PowerShell locally as SYSTEM where applicable.</w:t>
      </w:r>
    </w:p>
    <w:p>
      <w:pPr>
        <w:pStyle w:val="ListBullet"/>
      </w:pPr>
      <w:r>
        <w:t>Return valid compressed JSON only.</w:t>
      </w:r>
    </w:p>
    <w:p>
      <w:pPr>
        <w:pStyle w:val="ListBullet"/>
      </w:pPr>
      <w:r>
        <w:t>Use matching SettingName values in the JSON rules file.</w:t>
      </w:r>
    </w:p>
    <w:p>
      <w:pPr>
        <w:pStyle w:val="ListBullet"/>
      </w:pPr>
      <w:r>
        <w:t>Provide accurate remediation strings.</w:t>
      </w:r>
    </w:p>
    <w:p>
      <w:pPr>
        <w:pStyle w:val="ListBullet"/>
      </w:pPr>
      <w:r>
        <w:t>Upload the script before building the custom settings category in the policy.</w:t>
      </w:r>
    </w:p>
    <w:p>
      <w:pPr>
        <w:pStyle w:val="ListBullet"/>
      </w:pPr>
      <w:r>
        <w:t>Pilot without Conditional Access enforcement.</w:t>
      </w:r>
    </w:p>
    <w:p>
      <w:pPr>
        <w:pStyle w:val="ListBullet"/>
      </w:pPr>
      <w:r>
        <w:t>Monitor Error and Not evaluated states.</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Current Microsoft model</w:t>
              <w:br/>
            </w:r>
            <w:r>
              <w:t>Microsoft documentation states that Windows custom compliance uses a PowerShell discovery script and a JSON definition file; each compliance policy supports one script that can discover multiple settings.</w:t>
            </w:r>
          </w:p>
        </w:tc>
      </w:tr>
    </w:tbl>
    <w:p/>
    <w:p>
      <w:r>
        <w:br w:type="page"/>
      </w:r>
    </w:p>
    <w:p>
      <w:pPr>
        <w:pStyle w:val="Title"/>
        <w:jc w:val="center"/>
      </w:pPr>
      <w:r>
        <w:t>7. Monitor Compliance and Investigate Devices</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Compliance &gt; Monitor</w:t>
            </w:r>
          </w:p>
        </w:tc>
      </w:tr>
    </w:tbl>
    <w:p/>
    <w:p>
      <w:pPr>
        <w:jc w:val="center"/>
      </w:pPr>
      <w:r>
        <w:drawing>
          <wp:inline xmlns:a="http://schemas.openxmlformats.org/drawingml/2006/main" xmlns:pic="http://schemas.openxmlformats.org/drawingml/2006/picture">
            <wp:extent cx="6263640" cy="3523298"/>
            <wp:docPr id="21" name="Picture 21"/>
            <wp:cNvGraphicFramePr>
              <a:graphicFrameLocks noChangeAspect="1"/>
            </wp:cNvGraphicFramePr>
            <a:graphic>
              <a:graphicData uri="http://schemas.openxmlformats.org/drawingml/2006/picture">
                <pic:pic>
                  <pic:nvPicPr>
                    <pic:cNvPr id="0" name="image21.png"/>
                    <pic:cNvPicPr/>
                  </pic:nvPicPr>
                  <pic:blipFill>
                    <a:blip r:embed="rId31"/>
                    <a:stretch>
                      <a:fillRect/>
                    </a:stretch>
                  </pic:blipFill>
                  <pic:spPr>
                    <a:xfrm>
                      <a:off x="0" y="0"/>
                      <a:ext cx="6263640" cy="3523298"/>
                    </a:xfrm>
                    <a:prstGeom prst="rect"/>
                  </pic:spPr>
                </pic:pic>
              </a:graphicData>
            </a:graphic>
          </wp:inline>
        </w:drawing>
      </w:r>
    </w:p>
    <w:p>
      <w:pPr>
        <w:pStyle w:val="Cap"/>
        <w:jc w:val="center"/>
      </w:pPr>
      <w:r>
        <w:t>Figure 21. Compliance Monitor dashboard with compliant/noncompliant devices, Conditional Access, scripts, and reports.</w:t>
      </w:r>
    </w:p>
    <w:p>
      <w:pPr>
        <w:jc w:val="center"/>
      </w:pPr>
      <w:r>
        <w:drawing>
          <wp:inline xmlns:a="http://schemas.openxmlformats.org/drawingml/2006/main" xmlns:pic="http://schemas.openxmlformats.org/drawingml/2006/picture">
            <wp:extent cx="6263640" cy="3784616"/>
            <wp:docPr id="22" name="Picture 22"/>
            <wp:cNvGraphicFramePr>
              <a:graphicFrameLocks noChangeAspect="1"/>
            </wp:cNvGraphicFramePr>
            <a:graphic>
              <a:graphicData uri="http://schemas.openxmlformats.org/drawingml/2006/picture">
                <pic:pic>
                  <pic:nvPicPr>
                    <pic:cNvPr id="0" name="image22.png"/>
                    <pic:cNvPicPr/>
                  </pic:nvPicPr>
                  <pic:blipFill>
                    <a:blip r:embed="rId32"/>
                    <a:stretch>
                      <a:fillRect/>
                    </a:stretch>
                  </pic:blipFill>
                  <pic:spPr>
                    <a:xfrm>
                      <a:off x="0" y="0"/>
                      <a:ext cx="6263640" cy="3784616"/>
                    </a:xfrm>
                    <a:prstGeom prst="rect"/>
                  </pic:spPr>
                </pic:pic>
              </a:graphicData>
            </a:graphic>
          </wp:inline>
        </w:drawing>
      </w:r>
    </w:p>
    <w:p>
      <w:pPr>
        <w:pStyle w:val="Cap"/>
        <w:jc w:val="center"/>
      </w:pPr>
      <w:r>
        <w:t>Figure 22. Noncompliant devices report.</w:t>
      </w:r>
    </w:p>
    <w:p>
      <w:pPr>
        <w:jc w:val="center"/>
      </w:pPr>
      <w:r>
        <w:drawing>
          <wp:inline xmlns:a="http://schemas.openxmlformats.org/drawingml/2006/main" xmlns:pic="http://schemas.openxmlformats.org/drawingml/2006/picture">
            <wp:extent cx="6263640" cy="3149066"/>
            <wp:docPr id="23" name="Picture 23"/>
            <wp:cNvGraphicFramePr>
              <a:graphicFrameLocks noChangeAspect="1"/>
            </wp:cNvGraphicFramePr>
            <a:graphic>
              <a:graphicData uri="http://schemas.openxmlformats.org/drawingml/2006/picture">
                <pic:pic>
                  <pic:nvPicPr>
                    <pic:cNvPr id="0" name="image23.png"/>
                    <pic:cNvPicPr/>
                  </pic:nvPicPr>
                  <pic:blipFill>
                    <a:blip r:embed="rId33"/>
                    <a:stretch>
                      <a:fillRect/>
                    </a:stretch>
                  </pic:blipFill>
                  <pic:spPr>
                    <a:xfrm>
                      <a:off x="0" y="0"/>
                      <a:ext cx="6263640" cy="3149066"/>
                    </a:xfrm>
                    <a:prstGeom prst="rect"/>
                  </pic:spPr>
                </pic:pic>
              </a:graphicData>
            </a:graphic>
          </wp:inline>
        </w:drawing>
      </w:r>
    </w:p>
    <w:p>
      <w:pPr>
        <w:pStyle w:val="Cap"/>
        <w:jc w:val="center"/>
      </w:pPr>
      <w:r>
        <w:t>Figure 23. Noncompliant devices list with primary UPN, platform, OS version, and last check-in.</w:t>
      </w:r>
    </w:p>
    <w:p>
      <w:pPr>
        <w:jc w:val="center"/>
      </w:pPr>
      <w:r>
        <w:drawing>
          <wp:inline xmlns:a="http://schemas.openxmlformats.org/drawingml/2006/main" xmlns:pic="http://schemas.openxmlformats.org/drawingml/2006/picture">
            <wp:extent cx="6263640" cy="2729475"/>
            <wp:docPr id="24" name="Picture 24"/>
            <wp:cNvGraphicFramePr>
              <a:graphicFrameLocks noChangeAspect="1"/>
            </wp:cNvGraphicFramePr>
            <a:graphic>
              <a:graphicData uri="http://schemas.openxmlformats.org/drawingml/2006/picture">
                <pic:pic>
                  <pic:nvPicPr>
                    <pic:cNvPr id="0" name="image24.png"/>
                    <pic:cNvPicPr/>
                  </pic:nvPicPr>
                  <pic:blipFill>
                    <a:blip r:embed="rId34"/>
                    <a:stretch>
                      <a:fillRect/>
                    </a:stretch>
                  </pic:blipFill>
                  <pic:spPr>
                    <a:xfrm>
                      <a:off x="0" y="0"/>
                      <a:ext cx="6263640" cy="2729475"/>
                    </a:xfrm>
                    <a:prstGeom prst="rect"/>
                  </pic:spPr>
                </pic:pic>
              </a:graphicData>
            </a:graphic>
          </wp:inline>
        </w:drawing>
      </w:r>
    </w:p>
    <w:p>
      <w:pPr>
        <w:pStyle w:val="Cap"/>
        <w:jc w:val="center"/>
      </w:pPr>
      <w:r>
        <w:t>Figure 24. Policy noncompliance report showing policies and affected/error devices.</w:t>
      </w:r>
    </w:p>
    <w:p>
      <w:r>
        <w:br w:type="page"/>
      </w:r>
    </w:p>
    <w:p>
      <w:pPr>
        <w:jc w:val="center"/>
      </w:pPr>
      <w:r>
        <w:drawing>
          <wp:inline xmlns:a="http://schemas.openxmlformats.org/drawingml/2006/main" xmlns:pic="http://schemas.openxmlformats.org/drawingml/2006/picture">
            <wp:extent cx="6263640" cy="3794437"/>
            <wp:docPr id="25" name="Picture 25"/>
            <wp:cNvGraphicFramePr>
              <a:graphicFrameLocks noChangeAspect="1"/>
            </wp:cNvGraphicFramePr>
            <a:graphic>
              <a:graphicData uri="http://schemas.openxmlformats.org/drawingml/2006/picture">
                <pic:pic>
                  <pic:nvPicPr>
                    <pic:cNvPr id="0" name="image25.png"/>
                    <pic:cNvPicPr/>
                  </pic:nvPicPr>
                  <pic:blipFill>
                    <a:blip r:embed="rId35"/>
                    <a:stretch>
                      <a:fillRect/>
                    </a:stretch>
                  </pic:blipFill>
                  <pic:spPr>
                    <a:xfrm>
                      <a:off x="0" y="0"/>
                      <a:ext cx="6263640" cy="3794437"/>
                    </a:xfrm>
                    <a:prstGeom prst="rect"/>
                  </pic:spPr>
                </pic:pic>
              </a:graphicData>
            </a:graphic>
          </wp:inline>
        </w:drawing>
      </w:r>
    </w:p>
    <w:p>
      <w:pPr>
        <w:pStyle w:val="Cap"/>
        <w:jc w:val="center"/>
      </w:pPr>
      <w:r>
        <w:t>Figure 25. Default Device Compliance Policy status details.</w:t>
      </w:r>
    </w:p>
    <w:p>
      <w:pPr>
        <w:jc w:val="center"/>
      </w:pPr>
      <w:r>
        <w:drawing>
          <wp:inline xmlns:a="http://schemas.openxmlformats.org/drawingml/2006/main" xmlns:pic="http://schemas.openxmlformats.org/drawingml/2006/picture">
            <wp:extent cx="6263640" cy="2308081"/>
            <wp:docPr id="26" name="Picture 26"/>
            <wp:cNvGraphicFramePr>
              <a:graphicFrameLocks noChangeAspect="1"/>
            </wp:cNvGraphicFramePr>
            <a:graphic>
              <a:graphicData uri="http://schemas.openxmlformats.org/drawingml/2006/picture">
                <pic:pic>
                  <pic:nvPicPr>
                    <pic:cNvPr id="0" name="image26.png"/>
                    <pic:cNvPicPr/>
                  </pic:nvPicPr>
                  <pic:blipFill>
                    <a:blip r:embed="rId36"/>
                    <a:stretch>
                      <a:fillRect/>
                    </a:stretch>
                  </pic:blipFill>
                  <pic:spPr>
                    <a:xfrm>
                      <a:off x="0" y="0"/>
                      <a:ext cx="6263640" cy="2308081"/>
                    </a:xfrm>
                    <a:prstGeom prst="rect"/>
                  </pic:spPr>
                </pic:pic>
              </a:graphicData>
            </a:graphic>
          </wp:inline>
        </w:drawing>
      </w:r>
    </w:p>
    <w:p>
      <w:pPr>
        <w:pStyle w:val="Cap"/>
        <w:jc w:val="center"/>
      </w:pPr>
      <w:r>
        <w:t>Figure 26. Windows Compliance policy noncompliant device list.</w:t>
      </w:r>
    </w:p>
    <w:p>
      <w:pPr>
        <w:jc w:val="center"/>
      </w:pPr>
      <w:r>
        <w:drawing>
          <wp:inline xmlns:a="http://schemas.openxmlformats.org/drawingml/2006/main" xmlns:pic="http://schemas.openxmlformats.org/drawingml/2006/picture">
            <wp:extent cx="6263640" cy="3801217"/>
            <wp:docPr id="27" name="Picture 27"/>
            <wp:cNvGraphicFramePr>
              <a:graphicFrameLocks noChangeAspect="1"/>
            </wp:cNvGraphicFramePr>
            <a:graphic>
              <a:graphicData uri="http://schemas.openxmlformats.org/drawingml/2006/picture">
                <pic:pic>
                  <pic:nvPicPr>
                    <pic:cNvPr id="0" name="image27.png"/>
                    <pic:cNvPicPr/>
                  </pic:nvPicPr>
                  <pic:blipFill>
                    <a:blip r:embed="rId37"/>
                    <a:stretch>
                      <a:fillRect/>
                    </a:stretch>
                  </pic:blipFill>
                  <pic:spPr>
                    <a:xfrm>
                      <a:off x="0" y="0"/>
                      <a:ext cx="6263640" cy="3801217"/>
                    </a:xfrm>
                    <a:prstGeom prst="rect"/>
                  </pic:spPr>
                </pic:pic>
              </a:graphicData>
            </a:graphic>
          </wp:inline>
        </w:drawing>
      </w:r>
    </w:p>
    <w:p>
      <w:pPr>
        <w:pStyle w:val="Cap"/>
        <w:jc w:val="center"/>
      </w:pPr>
      <w:r>
        <w:t>Figure 27. Policy compliance status chart.</w:t>
      </w:r>
    </w:p>
    <w:p>
      <w:pPr>
        <w:jc w:val="center"/>
      </w:pPr>
      <w:r>
        <w:drawing>
          <wp:inline xmlns:a="http://schemas.openxmlformats.org/drawingml/2006/main" xmlns:pic="http://schemas.openxmlformats.org/drawingml/2006/picture">
            <wp:extent cx="6263640" cy="3813001"/>
            <wp:docPr id="28" name="Picture 28"/>
            <wp:cNvGraphicFramePr>
              <a:graphicFrameLocks noChangeAspect="1"/>
            </wp:cNvGraphicFramePr>
            <a:graphic>
              <a:graphicData uri="http://schemas.openxmlformats.org/drawingml/2006/picture">
                <pic:pic>
                  <pic:nvPicPr>
                    <pic:cNvPr id="0" name="image28.png"/>
                    <pic:cNvPicPr/>
                  </pic:nvPicPr>
                  <pic:blipFill>
                    <a:blip r:embed="rId38"/>
                    <a:stretch>
                      <a:fillRect/>
                    </a:stretch>
                  </pic:blipFill>
                  <pic:spPr>
                    <a:xfrm>
                      <a:off x="0" y="0"/>
                      <a:ext cx="6263640" cy="3813001"/>
                    </a:xfrm>
                    <a:prstGeom prst="rect"/>
                  </pic:spPr>
                </pic:pic>
              </a:graphicData>
            </a:graphic>
          </wp:inline>
        </w:drawing>
      </w:r>
    </w:p>
    <w:p>
      <w:pPr>
        <w:pStyle w:val="Cap"/>
        <w:jc w:val="center"/>
      </w:pPr>
      <w:r>
        <w:t>Figure 28. Policy compliance status and per-setting monitoring.</w:t>
      </w:r>
    </w:p>
    <w:p>
      <w:pPr>
        <w:pStyle w:val="Heading2"/>
      </w:pPr>
      <w:r>
        <w:t>7.1 Investigation order</w:t>
      </w:r>
    </w:p>
    <w:p>
      <w:pPr>
        <w:pStyle w:val="ListBullet"/>
      </w:pPr>
      <w:r>
        <w:t>Confirm last check-in.</w:t>
      </w:r>
    </w:p>
    <w:p>
      <w:pPr>
        <w:pStyle w:val="ListBullet"/>
      </w:pPr>
      <w:r>
        <w:t>Confirm the expected policy assignment.</w:t>
      </w:r>
    </w:p>
    <w:p>
      <w:pPr>
        <w:pStyle w:val="ListBullet"/>
      </w:pPr>
      <w:r>
        <w:t>Open device compliance status.</w:t>
      </w:r>
    </w:p>
    <w:p>
      <w:pPr>
        <w:pStyle w:val="ListBullet"/>
      </w:pPr>
      <w:r>
        <w:t>Open policy and per-setting status.</w:t>
      </w:r>
    </w:p>
    <w:p>
      <w:pPr>
        <w:pStyle w:val="ListBullet"/>
      </w:pPr>
      <w:r>
        <w:t>Identify exact failed setting.</w:t>
      </w:r>
    </w:p>
    <w:p>
      <w:pPr>
        <w:pStyle w:val="ListBullet"/>
      </w:pPr>
      <w:r>
        <w:t>Confirm a remediation policy exists and applied.</w:t>
      </w:r>
    </w:p>
    <w:p>
      <w:pPr>
        <w:pStyle w:val="ListBullet"/>
      </w:pPr>
      <w:r>
        <w:t>Sync device and re-evaluate.</w:t>
      </w:r>
    </w:p>
    <w:p>
      <w:pPr>
        <w:pStyle w:val="ListBullet"/>
      </w:pPr>
      <w:r>
        <w:t>Check Conditional Access sign-in impact.</w:t>
      </w:r>
    </w:p>
    <w:p>
      <w:pPr>
        <w:pStyle w:val="ListBullet"/>
      </w:pPr>
      <w:r>
        <w:t>Document root cause, remediation, and final state.</w:t>
      </w:r>
    </w:p>
    <w:p>
      <w:r>
        <w:br w:type="page"/>
      </w:r>
    </w:p>
    <w:p>
      <w:pPr>
        <w:pStyle w:val="Title"/>
        <w:jc w:val="center"/>
      </w:pPr>
      <w:r>
        <w:t>8. Device-Level Compliance Investigation</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All devices &gt; select device</w:t>
            </w:r>
          </w:p>
        </w:tc>
      </w:tr>
    </w:tbl>
    <w:p/>
    <w:p>
      <w:pPr>
        <w:jc w:val="center"/>
      </w:pPr>
      <w:r>
        <w:drawing>
          <wp:inline xmlns:a="http://schemas.openxmlformats.org/drawingml/2006/main" xmlns:pic="http://schemas.openxmlformats.org/drawingml/2006/picture">
            <wp:extent cx="6263640" cy="3785847"/>
            <wp:docPr id="29" name="Picture 29"/>
            <wp:cNvGraphicFramePr>
              <a:graphicFrameLocks noChangeAspect="1"/>
            </wp:cNvGraphicFramePr>
            <a:graphic>
              <a:graphicData uri="http://schemas.openxmlformats.org/drawingml/2006/picture">
                <pic:pic>
                  <pic:nvPicPr>
                    <pic:cNvPr id="0" name="image29.png"/>
                    <pic:cNvPicPr/>
                  </pic:nvPicPr>
                  <pic:blipFill>
                    <a:blip r:embed="rId39"/>
                    <a:stretch>
                      <a:fillRect/>
                    </a:stretch>
                  </pic:blipFill>
                  <pic:spPr>
                    <a:xfrm>
                      <a:off x="0" y="0"/>
                      <a:ext cx="6263640" cy="3785847"/>
                    </a:xfrm>
                    <a:prstGeom prst="rect"/>
                  </pic:spPr>
                </pic:pic>
              </a:graphicData>
            </a:graphic>
          </wp:inline>
        </w:drawing>
      </w:r>
    </w:p>
    <w:p>
      <w:pPr>
        <w:pStyle w:val="Cap"/>
        <w:jc w:val="center"/>
      </w:pPr>
      <w:r>
        <w:t>Figure 29. All devices list with compliance status.</w:t>
      </w:r>
    </w:p>
    <w:p>
      <w:pPr>
        <w:jc w:val="center"/>
      </w:pPr>
      <w:r>
        <w:drawing>
          <wp:inline xmlns:a="http://schemas.openxmlformats.org/drawingml/2006/main" xmlns:pic="http://schemas.openxmlformats.org/drawingml/2006/picture">
            <wp:extent cx="6263640" cy="3814728"/>
            <wp:docPr id="30" name="Picture 30"/>
            <wp:cNvGraphicFramePr>
              <a:graphicFrameLocks noChangeAspect="1"/>
            </wp:cNvGraphicFramePr>
            <a:graphic>
              <a:graphicData uri="http://schemas.openxmlformats.org/drawingml/2006/picture">
                <pic:pic>
                  <pic:nvPicPr>
                    <pic:cNvPr id="0" name="image30.png"/>
                    <pic:cNvPicPr/>
                  </pic:nvPicPr>
                  <pic:blipFill>
                    <a:blip r:embed="rId40"/>
                    <a:stretch>
                      <a:fillRect/>
                    </a:stretch>
                  </pic:blipFill>
                  <pic:spPr>
                    <a:xfrm>
                      <a:off x="0" y="0"/>
                      <a:ext cx="6263640" cy="3814728"/>
                    </a:xfrm>
                    <a:prstGeom prst="rect"/>
                  </pic:spPr>
                </pic:pic>
              </a:graphicData>
            </a:graphic>
          </wp:inline>
        </w:drawing>
      </w:r>
    </w:p>
    <w:p>
      <w:pPr>
        <w:pStyle w:val="Cap"/>
        <w:jc w:val="center"/>
      </w:pPr>
      <w:r>
        <w:t>Figure 30. Device compliance status across enrolled devices.</w:t>
      </w:r>
    </w:p>
    <w:p>
      <w:pPr>
        <w:jc w:val="center"/>
      </w:pPr>
      <w:r>
        <w:drawing>
          <wp:inline xmlns:a="http://schemas.openxmlformats.org/drawingml/2006/main" xmlns:pic="http://schemas.openxmlformats.org/drawingml/2006/picture">
            <wp:extent cx="6263640" cy="3754947"/>
            <wp:docPr id="31" name="Picture 31"/>
            <wp:cNvGraphicFramePr>
              <a:graphicFrameLocks noChangeAspect="1"/>
            </wp:cNvGraphicFramePr>
            <a:graphic>
              <a:graphicData uri="http://schemas.openxmlformats.org/drawingml/2006/picture">
                <pic:pic>
                  <pic:nvPicPr>
                    <pic:cNvPr id="0" name="image31.png"/>
                    <pic:cNvPicPr/>
                  </pic:nvPicPr>
                  <pic:blipFill>
                    <a:blip r:embed="rId41"/>
                    <a:stretch>
                      <a:fillRect/>
                    </a:stretch>
                  </pic:blipFill>
                  <pic:spPr>
                    <a:xfrm>
                      <a:off x="0" y="0"/>
                      <a:ext cx="6263640" cy="3754947"/>
                    </a:xfrm>
                    <a:prstGeom prst="rect"/>
                  </pic:spPr>
                </pic:pic>
              </a:graphicData>
            </a:graphic>
          </wp:inline>
        </w:drawing>
      </w:r>
    </w:p>
    <w:p>
      <w:pPr>
        <w:pStyle w:val="Cap"/>
        <w:jc w:val="center"/>
      </w:pPr>
      <w:r>
        <w:t>Figure 31. Noncompliant device overview and monitor navigation.</w:t>
      </w:r>
    </w:p>
    <w:p>
      <w:pPr>
        <w:jc w:val="center"/>
      </w:pPr>
      <w:r>
        <w:drawing>
          <wp:inline xmlns:a="http://schemas.openxmlformats.org/drawingml/2006/main" xmlns:pic="http://schemas.openxmlformats.org/drawingml/2006/picture">
            <wp:extent cx="6263640" cy="3745514"/>
            <wp:docPr id="32" name="Picture 32"/>
            <wp:cNvGraphicFramePr>
              <a:graphicFrameLocks noChangeAspect="1"/>
            </wp:cNvGraphicFramePr>
            <a:graphic>
              <a:graphicData uri="http://schemas.openxmlformats.org/drawingml/2006/picture">
                <pic:pic>
                  <pic:nvPicPr>
                    <pic:cNvPr id="0" name="image32.png"/>
                    <pic:cNvPicPr/>
                  </pic:nvPicPr>
                  <pic:blipFill>
                    <a:blip r:embed="rId42"/>
                    <a:stretch>
                      <a:fillRect/>
                    </a:stretch>
                  </pic:blipFill>
                  <pic:spPr>
                    <a:xfrm>
                      <a:off x="0" y="0"/>
                      <a:ext cx="6263640" cy="3745514"/>
                    </a:xfrm>
                    <a:prstGeom prst="rect"/>
                  </pic:spPr>
                </pic:pic>
              </a:graphicData>
            </a:graphic>
          </wp:inline>
        </w:drawing>
      </w:r>
    </w:p>
    <w:p>
      <w:pPr>
        <w:pStyle w:val="Cap"/>
        <w:jc w:val="center"/>
      </w:pPr>
      <w:r>
        <w:t>Figure 32. Noncompliant device properties, OS, ownership, primary user, and last check-in.</w:t>
      </w:r>
    </w:p>
    <w:p>
      <w:pPr>
        <w:pStyle w:val="Heading2"/>
      </w:pPr>
      <w:r>
        <w:t>8.1 Device validation checklist</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05" w:type="dxa"/>
              <w:start w:w="125" w:type="dxa"/>
              <w:bottom w:w="105" w:type="dxa"/>
              <w:end w:w="125" w:type="dxa"/>
            </w:tcMar>
          </w:tcPr>
          <w:p>
            <w:r>
              <w:rPr>
                <w:b/>
                <w:color w:val="FFFFFF"/>
              </w:rPr>
              <w:t>Check</w:t>
            </w:r>
          </w:p>
        </w:tc>
        <w:tc>
          <w:tcPr>
            <w:tcW w:type="dxa" w:w="5083"/>
            <w:shd w:fill="17365D"/>
            <w:tcMar>
              <w:top w:w="105" w:type="dxa"/>
              <w:start w:w="125" w:type="dxa"/>
              <w:bottom w:w="105" w:type="dxa"/>
              <w:end w:w="125" w:type="dxa"/>
            </w:tcMar>
          </w:tcPr>
          <w:p>
            <w:r>
              <w:rPr>
                <w:b/>
                <w:color w:val="FFFFFF"/>
              </w:rPr>
              <w:t>Expected evidence</w:t>
            </w:r>
          </w:p>
        </w:tc>
      </w:tr>
      <w:tr>
        <w:tc>
          <w:tcPr>
            <w:tcW w:type="dxa" w:w="5083"/>
            <w:tcMar>
              <w:top w:w="105" w:type="dxa"/>
              <w:start w:w="125" w:type="dxa"/>
              <w:bottom w:w="105" w:type="dxa"/>
              <w:end w:w="125" w:type="dxa"/>
            </w:tcMar>
            <w:vAlign w:val="center"/>
          </w:tcPr>
          <w:p>
            <w:r>
              <w:t>Identity</w:t>
            </w:r>
          </w:p>
        </w:tc>
        <w:tc>
          <w:tcPr>
            <w:tcW w:type="dxa" w:w="5083"/>
            <w:tcMar>
              <w:top w:w="105" w:type="dxa"/>
              <w:start w:w="125" w:type="dxa"/>
              <w:bottom w:w="105" w:type="dxa"/>
              <w:end w:w="125" w:type="dxa"/>
            </w:tcMar>
            <w:vAlign w:val="center"/>
          </w:tcPr>
          <w:p>
            <w:r>
              <w:t>Correct device ID, serial, user, tenant</w:t>
            </w:r>
          </w:p>
        </w:tc>
      </w:tr>
      <w:tr>
        <w:tc>
          <w:tcPr>
            <w:tcW w:type="dxa" w:w="5083"/>
            <w:tcMar>
              <w:top w:w="105" w:type="dxa"/>
              <w:start w:w="125" w:type="dxa"/>
              <w:bottom w:w="105" w:type="dxa"/>
              <w:end w:w="125" w:type="dxa"/>
            </w:tcMar>
            <w:vAlign w:val="center"/>
          </w:tcPr>
          <w:p>
            <w:r>
              <w:t>Management</w:t>
            </w:r>
          </w:p>
        </w:tc>
        <w:tc>
          <w:tcPr>
            <w:tcW w:type="dxa" w:w="5083"/>
            <w:tcMar>
              <w:top w:w="105" w:type="dxa"/>
              <w:start w:w="125" w:type="dxa"/>
              <w:bottom w:w="105" w:type="dxa"/>
              <w:end w:w="125" w:type="dxa"/>
            </w:tcMar>
            <w:vAlign w:val="center"/>
          </w:tcPr>
          <w:p>
            <w:r>
              <w:t>Intune managed and recent check-in</w:t>
            </w:r>
          </w:p>
        </w:tc>
      </w:tr>
      <w:tr>
        <w:tc>
          <w:tcPr>
            <w:tcW w:type="dxa" w:w="5083"/>
            <w:tcMar>
              <w:top w:w="105" w:type="dxa"/>
              <w:start w:w="125" w:type="dxa"/>
              <w:bottom w:w="105" w:type="dxa"/>
              <w:end w:w="125" w:type="dxa"/>
            </w:tcMar>
            <w:vAlign w:val="center"/>
          </w:tcPr>
          <w:p>
            <w:r>
              <w:t>Ownership</w:t>
            </w:r>
          </w:p>
        </w:tc>
        <w:tc>
          <w:tcPr>
            <w:tcW w:type="dxa" w:w="5083"/>
            <w:tcMar>
              <w:top w:w="105" w:type="dxa"/>
              <w:start w:w="125" w:type="dxa"/>
              <w:bottom w:w="105" w:type="dxa"/>
              <w:end w:w="125" w:type="dxa"/>
            </w:tcMar>
            <w:vAlign w:val="center"/>
          </w:tcPr>
          <w:p>
            <w:r>
              <w:t>Corporate or expected personal ownership</w:t>
            </w:r>
          </w:p>
        </w:tc>
      </w:tr>
      <w:tr>
        <w:tc>
          <w:tcPr>
            <w:tcW w:type="dxa" w:w="5083"/>
            <w:tcMar>
              <w:top w:w="105" w:type="dxa"/>
              <w:start w:w="125" w:type="dxa"/>
              <w:bottom w:w="105" w:type="dxa"/>
              <w:end w:w="125" w:type="dxa"/>
            </w:tcMar>
            <w:vAlign w:val="center"/>
          </w:tcPr>
          <w:p>
            <w:r>
              <w:t>Policy</w:t>
            </w:r>
          </w:p>
        </w:tc>
        <w:tc>
          <w:tcPr>
            <w:tcW w:type="dxa" w:w="5083"/>
            <w:tcMar>
              <w:top w:w="105" w:type="dxa"/>
              <w:start w:w="125" w:type="dxa"/>
              <w:bottom w:w="105" w:type="dxa"/>
              <w:end w:w="125" w:type="dxa"/>
            </w:tcMar>
            <w:vAlign w:val="center"/>
          </w:tcPr>
          <w:p>
            <w:r>
              <w:t>Correct compliance policy assigned</w:t>
            </w:r>
          </w:p>
        </w:tc>
      </w:tr>
      <w:tr>
        <w:tc>
          <w:tcPr>
            <w:tcW w:type="dxa" w:w="5083"/>
            <w:tcMar>
              <w:top w:w="105" w:type="dxa"/>
              <w:start w:w="125" w:type="dxa"/>
              <w:bottom w:w="105" w:type="dxa"/>
              <w:end w:w="125" w:type="dxa"/>
            </w:tcMar>
            <w:vAlign w:val="center"/>
          </w:tcPr>
          <w:p>
            <w:r>
              <w:t>Setting</w:t>
            </w:r>
          </w:p>
        </w:tc>
        <w:tc>
          <w:tcPr>
            <w:tcW w:type="dxa" w:w="5083"/>
            <w:tcMar>
              <w:top w:w="105" w:type="dxa"/>
              <w:start w:w="125" w:type="dxa"/>
              <w:bottom w:w="105" w:type="dxa"/>
              <w:end w:w="125" w:type="dxa"/>
            </w:tcMar>
            <w:vAlign w:val="center"/>
          </w:tcPr>
          <w:p>
            <w:r>
              <w:t>Exact failed requirement identified</w:t>
            </w:r>
          </w:p>
        </w:tc>
      </w:tr>
      <w:tr>
        <w:tc>
          <w:tcPr>
            <w:tcW w:type="dxa" w:w="5083"/>
            <w:tcMar>
              <w:top w:w="105" w:type="dxa"/>
              <w:start w:w="125" w:type="dxa"/>
              <w:bottom w:w="105" w:type="dxa"/>
              <w:end w:w="125" w:type="dxa"/>
            </w:tcMar>
            <w:vAlign w:val="center"/>
          </w:tcPr>
          <w:p>
            <w:r>
              <w:t>Remediation</w:t>
            </w:r>
          </w:p>
        </w:tc>
        <w:tc>
          <w:tcPr>
            <w:tcW w:type="dxa" w:w="5083"/>
            <w:tcMar>
              <w:top w:w="105" w:type="dxa"/>
              <w:start w:w="125" w:type="dxa"/>
              <w:bottom w:w="105" w:type="dxa"/>
              <w:end w:w="125" w:type="dxa"/>
            </w:tcMar>
            <w:vAlign w:val="center"/>
          </w:tcPr>
          <w:p>
            <w:r>
              <w:t>Configuration/security policy assigned and successful</w:t>
            </w:r>
          </w:p>
        </w:tc>
      </w:tr>
      <w:tr>
        <w:tc>
          <w:tcPr>
            <w:tcW w:type="dxa" w:w="5083"/>
            <w:tcMar>
              <w:top w:w="105" w:type="dxa"/>
              <w:start w:w="125" w:type="dxa"/>
              <w:bottom w:w="105" w:type="dxa"/>
              <w:end w:w="125" w:type="dxa"/>
            </w:tcMar>
            <w:vAlign w:val="center"/>
          </w:tcPr>
          <w:p>
            <w:r>
              <w:t>Conditional Access</w:t>
            </w:r>
          </w:p>
        </w:tc>
        <w:tc>
          <w:tcPr>
            <w:tcW w:type="dxa" w:w="5083"/>
            <w:tcMar>
              <w:top w:w="105" w:type="dxa"/>
              <w:start w:w="125" w:type="dxa"/>
              <w:bottom w:w="105" w:type="dxa"/>
              <w:end w:w="125" w:type="dxa"/>
            </w:tcMar>
            <w:vAlign w:val="center"/>
          </w:tcPr>
          <w:p>
            <w:r>
              <w:t>Sign-in logs show intended result</w:t>
            </w:r>
          </w:p>
        </w:tc>
      </w:tr>
      <w:tr>
        <w:tc>
          <w:tcPr>
            <w:tcW w:type="dxa" w:w="5083"/>
            <w:tcMar>
              <w:top w:w="105" w:type="dxa"/>
              <w:start w:w="125" w:type="dxa"/>
              <w:bottom w:w="105" w:type="dxa"/>
              <w:end w:w="125" w:type="dxa"/>
            </w:tcMar>
            <w:vAlign w:val="center"/>
          </w:tcPr>
          <w:p>
            <w:r>
              <w:t>Resolution</w:t>
            </w:r>
          </w:p>
        </w:tc>
        <w:tc>
          <w:tcPr>
            <w:tcW w:type="dxa" w:w="5083"/>
            <w:tcMar>
              <w:top w:w="105" w:type="dxa"/>
              <w:start w:w="125" w:type="dxa"/>
              <w:bottom w:w="105" w:type="dxa"/>
              <w:end w:w="125" w:type="dxa"/>
            </w:tcMar>
            <w:vAlign w:val="center"/>
          </w:tcPr>
          <w:p>
            <w:r>
              <w:t>Device re-evaluates as compliant</w:t>
            </w:r>
          </w:p>
        </w:tc>
      </w:tr>
    </w:tbl>
    <w:p>
      <w:r>
        <w:br w:type="page"/>
      </w:r>
    </w:p>
    <w:p>
      <w:pPr>
        <w:pStyle w:val="Title"/>
        <w:jc w:val="center"/>
      </w:pPr>
      <w:r>
        <w:t>9. Conditional Access Integration</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Entra admin center &gt; Protection &gt; Conditional Access &gt; Policies</w:t>
            </w:r>
          </w:p>
        </w:tc>
      </w:tr>
    </w:tbl>
    <w:p/>
    <w:p>
      <w:pPr>
        <w:jc w:val="center"/>
      </w:pPr>
      <w:r>
        <w:drawing>
          <wp:inline xmlns:a="http://schemas.openxmlformats.org/drawingml/2006/main" xmlns:pic="http://schemas.openxmlformats.org/drawingml/2006/picture">
            <wp:extent cx="6263640" cy="3340827"/>
            <wp:docPr id="33" name="Picture 33"/>
            <wp:cNvGraphicFramePr>
              <a:graphicFrameLocks noChangeAspect="1"/>
            </wp:cNvGraphicFramePr>
            <a:graphic>
              <a:graphicData uri="http://schemas.openxmlformats.org/drawingml/2006/picture">
                <pic:pic>
                  <pic:nvPicPr>
                    <pic:cNvPr id="0" name="image33.png"/>
                    <pic:cNvPicPr/>
                  </pic:nvPicPr>
                  <pic:blipFill>
                    <a:blip r:embed="rId43"/>
                    <a:stretch>
                      <a:fillRect/>
                    </a:stretch>
                  </pic:blipFill>
                  <pic:spPr>
                    <a:xfrm>
                      <a:off x="0" y="0"/>
                      <a:ext cx="6263640" cy="3340827"/>
                    </a:xfrm>
                    <a:prstGeom prst="rect"/>
                  </pic:spPr>
                </pic:pic>
              </a:graphicData>
            </a:graphic>
          </wp:inline>
        </w:drawing>
      </w:r>
    </w:p>
    <w:p>
      <w:pPr>
        <w:pStyle w:val="Cap"/>
        <w:jc w:val="center"/>
      </w:pPr>
      <w:r>
        <w:t>Figure 33. Risk-based Conditional Access policy area.</w:t>
      </w:r>
    </w:p>
    <w:p>
      <w:pPr>
        <w:jc w:val="center"/>
      </w:pPr>
      <w:r>
        <w:drawing>
          <wp:inline xmlns:a="http://schemas.openxmlformats.org/drawingml/2006/main" xmlns:pic="http://schemas.openxmlformats.org/drawingml/2006/picture">
            <wp:extent cx="6263640" cy="3369571"/>
            <wp:docPr id="34" name="Picture 34"/>
            <wp:cNvGraphicFramePr>
              <a:graphicFrameLocks noChangeAspect="1"/>
            </wp:cNvGraphicFramePr>
            <a:graphic>
              <a:graphicData uri="http://schemas.openxmlformats.org/drawingml/2006/picture">
                <pic:pic>
                  <pic:nvPicPr>
                    <pic:cNvPr id="0" name="image34.png"/>
                    <pic:cNvPicPr/>
                  </pic:nvPicPr>
                  <pic:blipFill>
                    <a:blip r:embed="rId44"/>
                    <a:stretch>
                      <a:fillRect/>
                    </a:stretch>
                  </pic:blipFill>
                  <pic:spPr>
                    <a:xfrm>
                      <a:off x="0" y="0"/>
                      <a:ext cx="6263640" cy="3369571"/>
                    </a:xfrm>
                    <a:prstGeom prst="rect"/>
                  </pic:spPr>
                </pic:pic>
              </a:graphicData>
            </a:graphic>
          </wp:inline>
        </w:drawing>
      </w:r>
    </w:p>
    <w:p>
      <w:pPr>
        <w:pStyle w:val="Cap"/>
        <w:jc w:val="center"/>
      </w:pPr>
      <w:r>
        <w:t>Figure 34. Device overview and compliance-related reporting.</w:t>
      </w:r>
    </w:p>
    <w:p>
      <w:pPr>
        <w:jc w:val="center"/>
      </w:pPr>
      <w:r>
        <w:drawing>
          <wp:inline xmlns:a="http://schemas.openxmlformats.org/drawingml/2006/main" xmlns:pic="http://schemas.openxmlformats.org/drawingml/2006/picture">
            <wp:extent cx="6263640" cy="3450193"/>
            <wp:docPr id="35" name="Picture 35"/>
            <wp:cNvGraphicFramePr>
              <a:graphicFrameLocks noChangeAspect="1"/>
            </wp:cNvGraphicFramePr>
            <a:graphic>
              <a:graphicData uri="http://schemas.openxmlformats.org/drawingml/2006/picture">
                <pic:pic>
                  <pic:nvPicPr>
                    <pic:cNvPr id="0" name="image35.png"/>
                    <pic:cNvPicPr/>
                  </pic:nvPicPr>
                  <pic:blipFill>
                    <a:blip r:embed="rId45"/>
                    <a:stretch>
                      <a:fillRect/>
                    </a:stretch>
                  </pic:blipFill>
                  <pic:spPr>
                    <a:xfrm>
                      <a:off x="0" y="0"/>
                      <a:ext cx="6263640" cy="3450193"/>
                    </a:xfrm>
                    <a:prstGeom prst="rect"/>
                  </pic:spPr>
                </pic:pic>
              </a:graphicData>
            </a:graphic>
          </wp:inline>
        </w:drawing>
      </w:r>
    </w:p>
    <w:p>
      <w:pPr>
        <w:pStyle w:val="Cap"/>
        <w:jc w:val="center"/>
      </w:pPr>
      <w:r>
        <w:t>Figure 35. Entra device overview with stale and noncompliant device counts.</w:t>
      </w:r>
    </w:p>
    <w:p>
      <w:pPr>
        <w:jc w:val="center"/>
      </w:pPr>
      <w:r>
        <w:drawing>
          <wp:inline xmlns:a="http://schemas.openxmlformats.org/drawingml/2006/main" xmlns:pic="http://schemas.openxmlformats.org/drawingml/2006/picture">
            <wp:extent cx="6263640" cy="4057179"/>
            <wp:docPr id="36" name="Picture 36"/>
            <wp:cNvGraphicFramePr>
              <a:graphicFrameLocks noChangeAspect="1"/>
            </wp:cNvGraphicFramePr>
            <a:graphic>
              <a:graphicData uri="http://schemas.openxmlformats.org/drawingml/2006/picture">
                <pic:pic>
                  <pic:nvPicPr>
                    <pic:cNvPr id="0" name="image36.png"/>
                    <pic:cNvPicPr/>
                  </pic:nvPicPr>
                  <pic:blipFill>
                    <a:blip r:embed="rId46"/>
                    <a:stretch>
                      <a:fillRect/>
                    </a:stretch>
                  </pic:blipFill>
                  <pic:spPr>
                    <a:xfrm>
                      <a:off x="0" y="0"/>
                      <a:ext cx="6263640" cy="4057179"/>
                    </a:xfrm>
                    <a:prstGeom prst="rect"/>
                  </pic:spPr>
                </pic:pic>
              </a:graphicData>
            </a:graphic>
          </wp:inline>
        </w:drawing>
      </w:r>
    </w:p>
    <w:p>
      <w:pPr>
        <w:pStyle w:val="Cap"/>
        <w:jc w:val="center"/>
      </w:pPr>
      <w:r>
        <w:t>Figure 36. Intune and Microsoft Entra Conditional Access integration overview.</w:t>
      </w:r>
    </w:p>
    <w:p>
      <w:pPr>
        <w:pStyle w:val="Heading2"/>
      </w:pPr>
      <w:r>
        <w:t>9.1 Safe enforcement sequence</w:t>
      </w:r>
    </w:p>
    <w:p>
      <w:pPr>
        <w:pStyle w:val="ListBullet"/>
      </w:pPr>
      <w:r>
        <w:t>Create and assign compliance policy first.</w:t>
      </w:r>
    </w:p>
    <w:p>
      <w:pPr>
        <w:pStyle w:val="ListBullet"/>
      </w:pPr>
      <w:r>
        <w:t>Monitor evaluation without blocking access.</w:t>
      </w:r>
    </w:p>
    <w:p>
      <w:pPr>
        <w:pStyle w:val="ListBullet"/>
      </w:pPr>
      <w:r>
        <w:t>Resolve unknown, not evaluated, and widespread noncompliance.</w:t>
      </w:r>
    </w:p>
    <w:p>
      <w:pPr>
        <w:pStyle w:val="ListBullet"/>
      </w:pPr>
      <w:r>
        <w:t>Create Conditional Access policy in report-only mode.</w:t>
      </w:r>
    </w:p>
    <w:p>
      <w:pPr>
        <w:pStyle w:val="ListBullet"/>
      </w:pPr>
      <w:r>
        <w:t>Review sign-in logs and impact.</w:t>
      </w:r>
    </w:p>
    <w:p>
      <w:pPr>
        <w:pStyle w:val="ListBullet"/>
      </w:pPr>
      <w:r>
        <w:t>Exclude emergency access accounts according to security policy.</w:t>
      </w:r>
    </w:p>
    <w:p>
      <w:pPr>
        <w:pStyle w:val="ListBullet"/>
      </w:pPr>
      <w:r>
        <w:t>Pilot enforcement with a controlled group.</w:t>
      </w:r>
    </w:p>
    <w:p>
      <w:pPr>
        <w:pStyle w:val="ListBullet"/>
      </w:pPr>
      <w:r>
        <w:t>Expand only after approval and support readiness.</w:t>
      </w:r>
    </w:p>
    <w:p>
      <w:pPr>
        <w:pStyle w:val="Heading2"/>
      </w:pPr>
      <w:r>
        <w:t>9.2 Common CA mistakes</w:t>
      </w:r>
    </w:p>
    <w:p>
      <w:pPr>
        <w:pStyle w:val="ListBullet"/>
      </w:pPr>
      <w:r>
        <w:t>Requiring compliance before devices can enroll.</w:t>
      </w:r>
    </w:p>
    <w:p>
      <w:pPr>
        <w:pStyle w:val="ListBullet"/>
      </w:pPr>
      <w:r>
        <w:t>No emergency access exclusion.</w:t>
      </w:r>
    </w:p>
    <w:p>
      <w:pPr>
        <w:pStyle w:val="ListBullet"/>
      </w:pPr>
      <w:r>
        <w:t>Targeting unsupported device types.</w:t>
      </w:r>
    </w:p>
    <w:p>
      <w:pPr>
        <w:pStyle w:val="ListBullet"/>
      </w:pPr>
      <w:r>
        <w:t>Using overly short grace periods.</w:t>
      </w:r>
    </w:p>
    <w:p>
      <w:pPr>
        <w:pStyle w:val="ListBullet"/>
      </w:pPr>
      <w:r>
        <w:t>Treating stale devices as current failures.</w:t>
      </w:r>
    </w:p>
    <w:p>
      <w:pPr>
        <w:pStyle w:val="ListBullet"/>
      </w:pPr>
      <w:r>
        <w:t>Assuming compliance remediates settings.</w:t>
      </w:r>
    </w:p>
    <w:p>
      <w:r>
        <w:br w:type="page"/>
      </w:r>
    </w:p>
    <w:p>
      <w:pPr>
        <w:pStyle w:val="Title"/>
        <w:jc w:val="center"/>
      </w:pPr>
      <w:r>
        <w:t>10. BitLocker, Endpoint Security, and Security Baselines</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Devices &gt; BitLocker keys</w:t>
            </w:r>
          </w:p>
        </w:tc>
      </w:tr>
    </w:tbl>
    <w:p/>
    <w:p>
      <w:pPr>
        <w:jc w:val="center"/>
      </w:pPr>
      <w:r>
        <w:drawing>
          <wp:inline xmlns:a="http://schemas.openxmlformats.org/drawingml/2006/main" xmlns:pic="http://schemas.openxmlformats.org/drawingml/2006/picture">
            <wp:extent cx="6263640" cy="2491119"/>
            <wp:docPr id="37" name="Picture 37"/>
            <wp:cNvGraphicFramePr>
              <a:graphicFrameLocks noChangeAspect="1"/>
            </wp:cNvGraphicFramePr>
            <a:graphic>
              <a:graphicData uri="http://schemas.openxmlformats.org/drawingml/2006/picture">
                <pic:pic>
                  <pic:nvPicPr>
                    <pic:cNvPr id="0" name="image37.png"/>
                    <pic:cNvPicPr/>
                  </pic:nvPicPr>
                  <pic:blipFill>
                    <a:blip r:embed="rId47"/>
                    <a:stretch>
                      <a:fillRect/>
                    </a:stretch>
                  </pic:blipFill>
                  <pic:spPr>
                    <a:xfrm>
                      <a:off x="0" y="0"/>
                      <a:ext cx="6263640" cy="2491119"/>
                    </a:xfrm>
                    <a:prstGeom prst="rect"/>
                  </pic:spPr>
                </pic:pic>
              </a:graphicData>
            </a:graphic>
          </wp:inline>
        </w:drawing>
      </w:r>
    </w:p>
    <w:p>
      <w:pPr>
        <w:pStyle w:val="Cap"/>
        <w:jc w:val="center"/>
      </w:pPr>
      <w:r>
        <w:t>Figure 37. BitLocker recovery key search by full key ID.</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Endpoint security &gt; Overview</w:t>
            </w:r>
          </w:p>
        </w:tc>
      </w:tr>
    </w:tbl>
    <w:p/>
    <w:p>
      <w:pPr>
        <w:jc w:val="center"/>
      </w:pPr>
      <w:r>
        <w:drawing>
          <wp:inline xmlns:a="http://schemas.openxmlformats.org/drawingml/2006/main" xmlns:pic="http://schemas.openxmlformats.org/drawingml/2006/picture">
            <wp:extent cx="6263640" cy="3288164"/>
            <wp:docPr id="38" name="Picture 38"/>
            <wp:cNvGraphicFramePr>
              <a:graphicFrameLocks noChangeAspect="1"/>
            </wp:cNvGraphicFramePr>
            <a:graphic>
              <a:graphicData uri="http://schemas.openxmlformats.org/drawingml/2006/picture">
                <pic:pic>
                  <pic:nvPicPr>
                    <pic:cNvPr id="0" name="image38.png"/>
                    <pic:cNvPicPr/>
                  </pic:nvPicPr>
                  <pic:blipFill>
                    <a:blip r:embed="rId48"/>
                    <a:stretch>
                      <a:fillRect/>
                    </a:stretch>
                  </pic:blipFill>
                  <pic:spPr>
                    <a:xfrm>
                      <a:off x="0" y="0"/>
                      <a:ext cx="6263640" cy="3288164"/>
                    </a:xfrm>
                    <a:prstGeom prst="rect"/>
                  </pic:spPr>
                </pic:pic>
              </a:graphicData>
            </a:graphic>
          </wp:inline>
        </w:drawing>
      </w:r>
    </w:p>
    <w:p>
      <w:pPr>
        <w:pStyle w:val="Cap"/>
        <w:jc w:val="center"/>
      </w:pPr>
      <w:r>
        <w:t>Figure 38. Endpoint security overview.</w:t>
      </w:r>
    </w:p>
    <w:tbl>
      <w:tblPr>
        <w:tblW w:type="auto" w:w="0"/>
        <w:tblLook w:firstColumn="1" w:firstRow="1" w:lastColumn="0" w:lastRow="0" w:noHBand="0" w:noVBand="1" w:val="04A0"/>
      </w:tblPr>
      <w:tblGrid>
        <w:gridCol w:w="10166"/>
      </w:tblGrid>
      <w:tr>
        <w:tc>
          <w:tcPr>
            <w:tcW w:type="dxa" w:w="10166"/>
            <w:shd w:fill="E2F0D9"/>
            <w:tcMar>
              <w:top w:w="145" w:type="dxa"/>
              <w:start w:w="165" w:type="dxa"/>
              <w:bottom w:w="145" w:type="dxa"/>
              <w:end w:w="165" w:type="dxa"/>
            </w:tcMar>
          </w:tcPr>
          <w:p>
            <w:r>
              <w:rPr>
                <w:b/>
                <w:color w:val="0078D4"/>
              </w:rPr>
              <w:t>Exact portal path</w:t>
              <w:br/>
            </w:r>
            <w:r>
              <w:t>Microsoft Intune admin center &gt; Endpoint security &gt; Security baselines &gt; Create Profile</w:t>
            </w:r>
          </w:p>
        </w:tc>
      </w:tr>
    </w:tbl>
    <w:p/>
    <w:p>
      <w:pPr>
        <w:jc w:val="center"/>
      </w:pPr>
      <w:r>
        <w:drawing>
          <wp:inline xmlns:a="http://schemas.openxmlformats.org/drawingml/2006/main" xmlns:pic="http://schemas.openxmlformats.org/drawingml/2006/picture">
            <wp:extent cx="6263640" cy="3799707"/>
            <wp:docPr id="39" name="Picture 39"/>
            <wp:cNvGraphicFramePr>
              <a:graphicFrameLocks noChangeAspect="1"/>
            </wp:cNvGraphicFramePr>
            <a:graphic>
              <a:graphicData uri="http://schemas.openxmlformats.org/drawingml/2006/picture">
                <pic:pic>
                  <pic:nvPicPr>
                    <pic:cNvPr id="0" name="image39.png"/>
                    <pic:cNvPicPr/>
                  </pic:nvPicPr>
                  <pic:blipFill>
                    <a:blip r:embed="rId49"/>
                    <a:stretch>
                      <a:fillRect/>
                    </a:stretch>
                  </pic:blipFill>
                  <pic:spPr>
                    <a:xfrm>
                      <a:off x="0" y="0"/>
                      <a:ext cx="6263640" cy="3799707"/>
                    </a:xfrm>
                    <a:prstGeom prst="rect"/>
                  </pic:spPr>
                </pic:pic>
              </a:graphicData>
            </a:graphic>
          </wp:inline>
        </w:drawing>
      </w:r>
    </w:p>
    <w:p>
      <w:pPr>
        <w:pStyle w:val="Cap"/>
        <w:jc w:val="center"/>
      </w:pPr>
      <w:r>
        <w:t>Figure 39. Security baseline creation for Windows and Microsoft products.</w:t>
      </w:r>
    </w:p>
    <w:p>
      <w:pPr>
        <w:jc w:val="center"/>
      </w:pPr>
      <w:r>
        <w:drawing>
          <wp:inline xmlns:a="http://schemas.openxmlformats.org/drawingml/2006/main" xmlns:pic="http://schemas.openxmlformats.org/drawingml/2006/picture">
            <wp:extent cx="6263640" cy="3713875"/>
            <wp:docPr id="40" name="Picture 40"/>
            <wp:cNvGraphicFramePr>
              <a:graphicFrameLocks noChangeAspect="1"/>
            </wp:cNvGraphicFramePr>
            <a:graphic>
              <a:graphicData uri="http://schemas.openxmlformats.org/drawingml/2006/picture">
                <pic:pic>
                  <pic:nvPicPr>
                    <pic:cNvPr id="0" name="image40.png"/>
                    <pic:cNvPicPr/>
                  </pic:nvPicPr>
                  <pic:blipFill>
                    <a:blip r:embed="rId50"/>
                    <a:stretch>
                      <a:fillRect/>
                    </a:stretch>
                  </pic:blipFill>
                  <pic:spPr>
                    <a:xfrm>
                      <a:off x="0" y="0"/>
                      <a:ext cx="6263640" cy="3713875"/>
                    </a:xfrm>
                    <a:prstGeom prst="rect"/>
                  </pic:spPr>
                </pic:pic>
              </a:graphicData>
            </a:graphic>
          </wp:inline>
        </w:drawing>
      </w:r>
    </w:p>
    <w:p>
      <w:pPr>
        <w:pStyle w:val="Cap"/>
        <w:jc w:val="center"/>
      </w:pPr>
      <w:r>
        <w:t>Figure 40. Security Baseline for Microsoft Edge profile list.</w:t>
      </w:r>
    </w:p>
    <w:p>
      <w:pPr>
        <w:pStyle w:val="Heading2"/>
      </w:pPr>
      <w:r>
        <w:t>10.1 Relationship</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05" w:type="dxa"/>
              <w:start w:w="125" w:type="dxa"/>
              <w:bottom w:w="105" w:type="dxa"/>
              <w:end w:w="125" w:type="dxa"/>
            </w:tcMar>
          </w:tcPr>
          <w:p>
            <w:r>
              <w:rPr>
                <w:b/>
                <w:color w:val="FFFFFF"/>
              </w:rPr>
              <w:t>Control</w:t>
            </w:r>
          </w:p>
        </w:tc>
        <w:tc>
          <w:tcPr>
            <w:tcW w:type="dxa" w:w="5083"/>
            <w:shd w:fill="17365D"/>
            <w:tcMar>
              <w:top w:w="105" w:type="dxa"/>
              <w:start w:w="125" w:type="dxa"/>
              <w:bottom w:w="105" w:type="dxa"/>
              <w:end w:w="125" w:type="dxa"/>
            </w:tcMar>
          </w:tcPr>
          <w:p>
            <w:r>
              <w:rPr>
                <w:b/>
                <w:color w:val="FFFFFF"/>
              </w:rPr>
              <w:t>Purpose</w:t>
            </w:r>
          </w:p>
        </w:tc>
      </w:tr>
      <w:tr>
        <w:tc>
          <w:tcPr>
            <w:tcW w:type="dxa" w:w="5083"/>
            <w:tcMar>
              <w:top w:w="105" w:type="dxa"/>
              <w:start w:w="125" w:type="dxa"/>
              <w:bottom w:w="105" w:type="dxa"/>
              <w:end w:w="125" w:type="dxa"/>
            </w:tcMar>
            <w:vAlign w:val="center"/>
          </w:tcPr>
          <w:p>
            <w:r>
              <w:t>Endpoint security/configuration profile</w:t>
            </w:r>
          </w:p>
        </w:tc>
        <w:tc>
          <w:tcPr>
            <w:tcW w:type="dxa" w:w="5083"/>
            <w:tcMar>
              <w:top w:w="105" w:type="dxa"/>
              <w:start w:w="125" w:type="dxa"/>
              <w:bottom w:w="105" w:type="dxa"/>
              <w:end w:w="125" w:type="dxa"/>
            </w:tcMar>
            <w:vAlign w:val="center"/>
          </w:tcPr>
          <w:p>
            <w:r>
              <w:t>Applies BitLocker, firewall, Defender, or baseline settings</w:t>
            </w:r>
          </w:p>
        </w:tc>
      </w:tr>
      <w:tr>
        <w:tc>
          <w:tcPr>
            <w:tcW w:type="dxa" w:w="5083"/>
            <w:tcMar>
              <w:top w:w="105" w:type="dxa"/>
              <w:start w:w="125" w:type="dxa"/>
              <w:bottom w:w="105" w:type="dxa"/>
              <w:end w:w="125" w:type="dxa"/>
            </w:tcMar>
            <w:vAlign w:val="center"/>
          </w:tcPr>
          <w:p>
            <w:r>
              <w:t>Compliance policy</w:t>
            </w:r>
          </w:p>
        </w:tc>
        <w:tc>
          <w:tcPr>
            <w:tcW w:type="dxa" w:w="5083"/>
            <w:tcMar>
              <w:top w:w="105" w:type="dxa"/>
              <w:start w:w="125" w:type="dxa"/>
              <w:bottom w:w="105" w:type="dxa"/>
              <w:end w:w="125" w:type="dxa"/>
            </w:tcMar>
            <w:vAlign w:val="center"/>
          </w:tcPr>
          <w:p>
            <w:r>
              <w:t>Checks whether the required security state exists</w:t>
            </w:r>
          </w:p>
        </w:tc>
      </w:tr>
      <w:tr>
        <w:tc>
          <w:tcPr>
            <w:tcW w:type="dxa" w:w="5083"/>
            <w:tcMar>
              <w:top w:w="105" w:type="dxa"/>
              <w:start w:w="125" w:type="dxa"/>
              <w:bottom w:w="105" w:type="dxa"/>
              <w:end w:w="125" w:type="dxa"/>
            </w:tcMar>
            <w:vAlign w:val="center"/>
          </w:tcPr>
          <w:p>
            <w:r>
              <w:t>Conditional Access</w:t>
            </w:r>
          </w:p>
        </w:tc>
        <w:tc>
          <w:tcPr>
            <w:tcW w:type="dxa" w:w="5083"/>
            <w:tcMar>
              <w:top w:w="105" w:type="dxa"/>
              <w:start w:w="125" w:type="dxa"/>
              <w:bottom w:w="105" w:type="dxa"/>
              <w:end w:w="125" w:type="dxa"/>
            </w:tcMar>
            <w:vAlign w:val="center"/>
          </w:tcPr>
          <w:p>
            <w:r>
              <w:t>Uses compliance state for access decision</w:t>
            </w:r>
          </w:p>
        </w:tc>
      </w:tr>
      <w:tr>
        <w:tc>
          <w:tcPr>
            <w:tcW w:type="dxa" w:w="5083"/>
            <w:tcMar>
              <w:top w:w="105" w:type="dxa"/>
              <w:start w:w="125" w:type="dxa"/>
              <w:bottom w:w="105" w:type="dxa"/>
              <w:end w:w="125" w:type="dxa"/>
            </w:tcMar>
            <w:vAlign w:val="center"/>
          </w:tcPr>
          <w:p>
            <w:r>
              <w:t>Recovery key portal</w:t>
            </w:r>
          </w:p>
        </w:tc>
        <w:tc>
          <w:tcPr>
            <w:tcW w:type="dxa" w:w="5083"/>
            <w:tcMar>
              <w:top w:w="105" w:type="dxa"/>
              <w:start w:w="125" w:type="dxa"/>
              <w:bottom w:w="105" w:type="dxa"/>
              <w:end w:w="125" w:type="dxa"/>
            </w:tcMar>
            <w:vAlign w:val="center"/>
          </w:tcPr>
          <w:p>
            <w:r>
              <w:t>Supports approved recovery process</w:t>
            </w:r>
          </w:p>
        </w:tc>
      </w:tr>
    </w:tbl>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Avoid conflicts</w:t>
              <w:br/>
            </w:r>
            <w:r>
              <w:t>Do not configure the same setting with incompatible values across Security baselines, Settings catalog, Endpoint security, and older templates. Use per-setting status to find conflicts.</w:t>
            </w:r>
          </w:p>
        </w:tc>
      </w:tr>
    </w:tbl>
    <w:p/>
    <w:p>
      <w:r>
        <w:br w:type="page"/>
      </w:r>
    </w:p>
    <w:p>
      <w:pPr>
        <w:pStyle w:val="Title"/>
        <w:jc w:val="center"/>
      </w:pPr>
      <w:r>
        <w:t>11. Platform and Assignment Design</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05" w:type="dxa"/>
              <w:start w:w="125" w:type="dxa"/>
              <w:bottom w:w="105" w:type="dxa"/>
              <w:end w:w="125" w:type="dxa"/>
            </w:tcMar>
          </w:tcPr>
          <w:p>
            <w:r>
              <w:rPr>
                <w:b/>
                <w:color w:val="FFFFFF"/>
              </w:rPr>
              <w:t>Platform</w:t>
            </w:r>
          </w:p>
        </w:tc>
        <w:tc>
          <w:tcPr>
            <w:tcW w:type="dxa" w:w="5083"/>
            <w:shd w:fill="17365D"/>
            <w:tcMar>
              <w:top w:w="105" w:type="dxa"/>
              <w:start w:w="125" w:type="dxa"/>
              <w:bottom w:w="105" w:type="dxa"/>
              <w:end w:w="125" w:type="dxa"/>
            </w:tcMar>
          </w:tcPr>
          <w:p>
            <w:r>
              <w:rPr>
                <w:b/>
                <w:color w:val="FFFFFF"/>
              </w:rPr>
              <w:t>Typical compliance areas</w:t>
            </w:r>
          </w:p>
        </w:tc>
      </w:tr>
      <w:tr>
        <w:tc>
          <w:tcPr>
            <w:tcW w:type="dxa" w:w="5083"/>
            <w:tcMar>
              <w:top w:w="105" w:type="dxa"/>
              <w:start w:w="125" w:type="dxa"/>
              <w:bottom w:w="105" w:type="dxa"/>
              <w:end w:w="125" w:type="dxa"/>
            </w:tcMar>
            <w:vAlign w:val="center"/>
          </w:tcPr>
          <w:p>
            <w:r>
              <w:t>Windows</w:t>
            </w:r>
          </w:p>
        </w:tc>
        <w:tc>
          <w:tcPr>
            <w:tcW w:type="dxa" w:w="5083"/>
            <w:tcMar>
              <w:top w:w="105" w:type="dxa"/>
              <w:start w:w="125" w:type="dxa"/>
              <w:bottom w:w="105" w:type="dxa"/>
              <w:end w:w="125" w:type="dxa"/>
            </w:tcMar>
            <w:vAlign w:val="center"/>
          </w:tcPr>
          <w:p>
            <w:r>
              <w:t>Health, OS, encryption, firewall, antivirus, Defender risk, custom compliance</w:t>
            </w:r>
          </w:p>
        </w:tc>
      </w:tr>
      <w:tr>
        <w:tc>
          <w:tcPr>
            <w:tcW w:type="dxa" w:w="5083"/>
            <w:tcMar>
              <w:top w:w="105" w:type="dxa"/>
              <w:start w:w="125" w:type="dxa"/>
              <w:bottom w:w="105" w:type="dxa"/>
              <w:end w:w="125" w:type="dxa"/>
            </w:tcMar>
            <w:vAlign w:val="center"/>
          </w:tcPr>
          <w:p>
            <w:r>
              <w:t>macOS</w:t>
            </w:r>
          </w:p>
        </w:tc>
        <w:tc>
          <w:tcPr>
            <w:tcW w:type="dxa" w:w="5083"/>
            <w:tcMar>
              <w:top w:w="105" w:type="dxa"/>
              <w:start w:w="125" w:type="dxa"/>
              <w:bottom w:w="105" w:type="dxa"/>
              <w:end w:w="125" w:type="dxa"/>
            </w:tcMar>
            <w:vAlign w:val="center"/>
          </w:tcPr>
          <w:p>
            <w:r>
              <w:t>OS, password, encryption, firewall, Gatekeeper, system integrity/custom compliance where supported</w:t>
            </w:r>
          </w:p>
        </w:tc>
      </w:tr>
      <w:tr>
        <w:tc>
          <w:tcPr>
            <w:tcW w:type="dxa" w:w="5083"/>
            <w:tcMar>
              <w:top w:w="105" w:type="dxa"/>
              <w:start w:w="125" w:type="dxa"/>
              <w:bottom w:w="105" w:type="dxa"/>
              <w:end w:w="125" w:type="dxa"/>
            </w:tcMar>
            <w:vAlign w:val="center"/>
          </w:tcPr>
          <w:p>
            <w:r>
              <w:t>iOS/iPadOS</w:t>
            </w:r>
          </w:p>
        </w:tc>
        <w:tc>
          <w:tcPr>
            <w:tcW w:type="dxa" w:w="5083"/>
            <w:tcMar>
              <w:top w:w="105" w:type="dxa"/>
              <w:start w:w="125" w:type="dxa"/>
              <w:bottom w:w="105" w:type="dxa"/>
              <w:end w:w="125" w:type="dxa"/>
            </w:tcMar>
            <w:vAlign w:val="center"/>
          </w:tcPr>
          <w:p>
            <w:r>
              <w:t>OS, passcode, device threat/jailbreak, restricted apps</w:t>
            </w:r>
          </w:p>
        </w:tc>
      </w:tr>
      <w:tr>
        <w:tc>
          <w:tcPr>
            <w:tcW w:type="dxa" w:w="5083"/>
            <w:tcMar>
              <w:top w:w="105" w:type="dxa"/>
              <w:start w:w="125" w:type="dxa"/>
              <w:bottom w:w="105" w:type="dxa"/>
              <w:end w:w="125" w:type="dxa"/>
            </w:tcMar>
            <w:vAlign w:val="center"/>
          </w:tcPr>
          <w:p>
            <w:r>
              <w:t>Android Enterprise</w:t>
            </w:r>
          </w:p>
        </w:tc>
        <w:tc>
          <w:tcPr>
            <w:tcW w:type="dxa" w:w="5083"/>
            <w:tcMar>
              <w:top w:w="105" w:type="dxa"/>
              <w:start w:w="125" w:type="dxa"/>
              <w:bottom w:w="105" w:type="dxa"/>
              <w:end w:w="125" w:type="dxa"/>
            </w:tcMar>
            <w:vAlign w:val="center"/>
          </w:tcPr>
          <w:p>
            <w:r>
              <w:t>OS, encryption, root/threat, password, device integrity</w:t>
            </w:r>
          </w:p>
        </w:tc>
      </w:tr>
      <w:tr>
        <w:tc>
          <w:tcPr>
            <w:tcW w:type="dxa" w:w="5083"/>
            <w:tcMar>
              <w:top w:w="105" w:type="dxa"/>
              <w:start w:w="125" w:type="dxa"/>
              <w:bottom w:w="105" w:type="dxa"/>
              <w:end w:w="125" w:type="dxa"/>
            </w:tcMar>
            <w:vAlign w:val="center"/>
          </w:tcPr>
          <w:p>
            <w:r>
              <w:t>Linux</w:t>
            </w:r>
          </w:p>
        </w:tc>
        <w:tc>
          <w:tcPr>
            <w:tcW w:type="dxa" w:w="5083"/>
            <w:tcMar>
              <w:top w:w="105" w:type="dxa"/>
              <w:start w:w="125" w:type="dxa"/>
              <w:bottom w:w="105" w:type="dxa"/>
              <w:end w:w="125" w:type="dxa"/>
            </w:tcMar>
            <w:vAlign w:val="center"/>
          </w:tcPr>
          <w:p>
            <w:r>
              <w:t>Supported distribution/version and custom compliance capabilities</w:t>
            </w:r>
          </w:p>
        </w:tc>
      </w:tr>
    </w:tbl>
    <w:p>
      <w:pPr>
        <w:pStyle w:val="Heading2"/>
      </w:pPr>
      <w:r>
        <w:t>11.1 User vs device assignment</w:t>
      </w:r>
    </w:p>
    <w:p>
      <w:pPr>
        <w:pStyle w:val="ListBullet"/>
      </w:pPr>
      <w:r>
        <w:t>User assignment follows the user across enrolled devices and aligns naturally with Conditional Access.</w:t>
      </w:r>
    </w:p>
    <w:p>
      <w:pPr>
        <w:pStyle w:val="ListBullet"/>
      </w:pPr>
      <w:r>
        <w:t>Device assignment suits shared, kiosk, or device-specific control where supported.</w:t>
      </w:r>
    </w:p>
    <w:p>
      <w:pPr>
        <w:pStyle w:val="ListBullet"/>
      </w:pPr>
      <w:r>
        <w:t>Test enrollment-without-user and primary-user scenarios.</w:t>
      </w:r>
    </w:p>
    <w:p>
      <w:pPr>
        <w:pStyle w:val="ListBullet"/>
      </w:pPr>
      <w:r>
        <w:t>Avoid overlapping policies that create incompatible requirements.</w:t>
      </w:r>
    </w:p>
    <w:p>
      <w:r>
        <w:br w:type="page"/>
      </w:r>
    </w:p>
    <w:p>
      <w:pPr>
        <w:pStyle w:val="Title"/>
        <w:jc w:val="center"/>
      </w:pPr>
      <w:r>
        <w:t>12. 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05" w:type="dxa"/>
              <w:start w:w="125" w:type="dxa"/>
              <w:bottom w:w="105" w:type="dxa"/>
              <w:end w:w="125" w:type="dxa"/>
            </w:tcMar>
          </w:tcPr>
          <w:p>
            <w:r>
              <w:rPr>
                <w:b/>
                <w:color w:val="FFFFFF"/>
              </w:rPr>
              <w:t>Symptom</w:t>
            </w:r>
          </w:p>
        </w:tc>
        <w:tc>
          <w:tcPr>
            <w:tcW w:type="dxa" w:w="3389"/>
            <w:shd w:fill="17365D"/>
            <w:tcMar>
              <w:top w:w="105" w:type="dxa"/>
              <w:start w:w="125" w:type="dxa"/>
              <w:bottom w:w="105" w:type="dxa"/>
              <w:end w:w="125" w:type="dxa"/>
            </w:tcMar>
          </w:tcPr>
          <w:p>
            <w:r>
              <w:rPr>
                <w:b/>
                <w:color w:val="FFFFFF"/>
              </w:rPr>
              <w:t>Likely cause</w:t>
            </w:r>
          </w:p>
        </w:tc>
        <w:tc>
          <w:tcPr>
            <w:tcW w:type="dxa" w:w="3389"/>
            <w:shd w:fill="17365D"/>
            <w:tcMar>
              <w:top w:w="105" w:type="dxa"/>
              <w:start w:w="125" w:type="dxa"/>
              <w:bottom w:w="105" w:type="dxa"/>
              <w:end w:w="125" w:type="dxa"/>
            </w:tcMar>
          </w:tcPr>
          <w:p>
            <w:r>
              <w:rPr>
                <w:b/>
                <w:color w:val="FFFFFF"/>
              </w:rPr>
              <w:t>Action</w:t>
            </w:r>
          </w:p>
        </w:tc>
      </w:tr>
      <w:tr>
        <w:tc>
          <w:tcPr>
            <w:tcW w:type="dxa" w:w="3389"/>
            <w:tcMar>
              <w:top w:w="105" w:type="dxa"/>
              <w:start w:w="125" w:type="dxa"/>
              <w:bottom w:w="105" w:type="dxa"/>
              <w:end w:w="125" w:type="dxa"/>
            </w:tcMar>
            <w:vAlign w:val="center"/>
          </w:tcPr>
          <w:p>
            <w:r>
              <w:t>Not evaluated</w:t>
            </w:r>
          </w:p>
        </w:tc>
        <w:tc>
          <w:tcPr>
            <w:tcW w:type="dxa" w:w="3389"/>
            <w:tcMar>
              <w:top w:w="105" w:type="dxa"/>
              <w:start w:w="125" w:type="dxa"/>
              <w:bottom w:w="105" w:type="dxa"/>
              <w:end w:w="125" w:type="dxa"/>
            </w:tcMar>
            <w:vAlign w:val="center"/>
          </w:tcPr>
          <w:p>
            <w:r>
              <w:t>No check-in, enrollment/assignment gap, unsupported state</w:t>
            </w:r>
          </w:p>
        </w:tc>
        <w:tc>
          <w:tcPr>
            <w:tcW w:type="dxa" w:w="3389"/>
            <w:tcMar>
              <w:top w:w="105" w:type="dxa"/>
              <w:start w:w="125" w:type="dxa"/>
              <w:bottom w:w="105" w:type="dxa"/>
              <w:end w:w="125" w:type="dxa"/>
            </w:tcMar>
            <w:vAlign w:val="center"/>
          </w:tcPr>
          <w:p>
            <w:r>
              <w:t>Confirm enrollment, last check-in, assignment, platform, and primary user.</w:t>
            </w:r>
          </w:p>
        </w:tc>
      </w:tr>
      <w:tr>
        <w:tc>
          <w:tcPr>
            <w:tcW w:type="dxa" w:w="3389"/>
            <w:tcMar>
              <w:top w:w="105" w:type="dxa"/>
              <w:start w:w="125" w:type="dxa"/>
              <w:bottom w:w="105" w:type="dxa"/>
              <w:end w:w="125" w:type="dxa"/>
            </w:tcMar>
            <w:vAlign w:val="center"/>
          </w:tcPr>
          <w:p>
            <w:r>
              <w:t>Noncompliant after remediation</w:t>
            </w:r>
          </w:p>
        </w:tc>
        <w:tc>
          <w:tcPr>
            <w:tcW w:type="dxa" w:w="3389"/>
            <w:tcMar>
              <w:top w:w="105" w:type="dxa"/>
              <w:start w:w="125" w:type="dxa"/>
              <w:bottom w:w="105" w:type="dxa"/>
              <w:end w:w="125" w:type="dxa"/>
            </w:tcMar>
            <w:vAlign w:val="center"/>
          </w:tcPr>
          <w:p>
            <w:r>
              <w:t>Device has not re-evaluated or setting still fails</w:t>
            </w:r>
          </w:p>
        </w:tc>
        <w:tc>
          <w:tcPr>
            <w:tcW w:type="dxa" w:w="3389"/>
            <w:tcMar>
              <w:top w:w="105" w:type="dxa"/>
              <w:start w:w="125" w:type="dxa"/>
              <w:bottom w:w="105" w:type="dxa"/>
              <w:end w:w="125" w:type="dxa"/>
            </w:tcMar>
            <w:vAlign w:val="center"/>
          </w:tcPr>
          <w:p>
            <w:r>
              <w:t>Sync, restart if needed, inspect per-setting state and local configuration.</w:t>
            </w:r>
          </w:p>
        </w:tc>
      </w:tr>
      <w:tr>
        <w:tc>
          <w:tcPr>
            <w:tcW w:type="dxa" w:w="3389"/>
            <w:tcMar>
              <w:top w:w="105" w:type="dxa"/>
              <w:start w:w="125" w:type="dxa"/>
              <w:bottom w:w="105" w:type="dxa"/>
              <w:end w:w="125" w:type="dxa"/>
            </w:tcMar>
            <w:vAlign w:val="center"/>
          </w:tcPr>
          <w:p>
            <w:r>
              <w:t>Error</w:t>
            </w:r>
          </w:p>
        </w:tc>
        <w:tc>
          <w:tcPr>
            <w:tcW w:type="dxa" w:w="3389"/>
            <w:tcMar>
              <w:top w:w="105" w:type="dxa"/>
              <w:start w:w="125" w:type="dxa"/>
              <w:bottom w:w="105" w:type="dxa"/>
              <w:end w:w="125" w:type="dxa"/>
            </w:tcMar>
            <w:vAlign w:val="center"/>
          </w:tcPr>
          <w:p>
            <w:r>
              <w:t>Custom script/JSON, MDE integration, platform evaluation error</w:t>
            </w:r>
          </w:p>
        </w:tc>
        <w:tc>
          <w:tcPr>
            <w:tcW w:type="dxa" w:w="3389"/>
            <w:tcMar>
              <w:top w:w="105" w:type="dxa"/>
              <w:start w:w="125" w:type="dxa"/>
              <w:bottom w:w="105" w:type="dxa"/>
              <w:end w:w="125" w:type="dxa"/>
            </w:tcMar>
            <w:vAlign w:val="center"/>
          </w:tcPr>
          <w:p>
            <w:r>
              <w:t>Review script output, rule names/types, licensing, and logs.</w:t>
            </w:r>
          </w:p>
        </w:tc>
      </w:tr>
      <w:tr>
        <w:tc>
          <w:tcPr>
            <w:tcW w:type="dxa" w:w="3389"/>
            <w:tcMar>
              <w:top w:w="105" w:type="dxa"/>
              <w:start w:w="125" w:type="dxa"/>
              <w:bottom w:w="105" w:type="dxa"/>
              <w:end w:w="125" w:type="dxa"/>
            </w:tcMar>
            <w:vAlign w:val="center"/>
          </w:tcPr>
          <w:p>
            <w:r>
              <w:t>Conflict</w:t>
            </w:r>
          </w:p>
        </w:tc>
        <w:tc>
          <w:tcPr>
            <w:tcW w:type="dxa" w:w="3389"/>
            <w:tcMar>
              <w:top w:w="105" w:type="dxa"/>
              <w:start w:w="125" w:type="dxa"/>
              <w:bottom w:w="105" w:type="dxa"/>
              <w:end w:w="125" w:type="dxa"/>
            </w:tcMar>
            <w:vAlign w:val="center"/>
          </w:tcPr>
          <w:p>
            <w:r>
              <w:t>Overlapping compliance/configuration requirements</w:t>
            </w:r>
          </w:p>
        </w:tc>
        <w:tc>
          <w:tcPr>
            <w:tcW w:type="dxa" w:w="3389"/>
            <w:tcMar>
              <w:top w:w="105" w:type="dxa"/>
              <w:start w:w="125" w:type="dxa"/>
              <w:bottom w:w="105" w:type="dxa"/>
              <w:end w:w="125" w:type="dxa"/>
            </w:tcMar>
            <w:vAlign w:val="center"/>
          </w:tcPr>
          <w:p>
            <w:r>
              <w:t>Identify every policy targeting the setting and resolve design overlap.</w:t>
            </w:r>
          </w:p>
        </w:tc>
      </w:tr>
      <w:tr>
        <w:tc>
          <w:tcPr>
            <w:tcW w:type="dxa" w:w="3389"/>
            <w:tcMar>
              <w:top w:w="105" w:type="dxa"/>
              <w:start w:w="125" w:type="dxa"/>
              <w:bottom w:w="105" w:type="dxa"/>
              <w:end w:w="125" w:type="dxa"/>
            </w:tcMar>
            <w:vAlign w:val="center"/>
          </w:tcPr>
          <w:p>
            <w:r>
              <w:t>No email received</w:t>
            </w:r>
          </w:p>
        </w:tc>
        <w:tc>
          <w:tcPr>
            <w:tcW w:type="dxa" w:w="3389"/>
            <w:tcMar>
              <w:top w:w="105" w:type="dxa"/>
              <w:start w:w="125" w:type="dxa"/>
              <w:bottom w:w="105" w:type="dxa"/>
              <w:end w:w="125" w:type="dxa"/>
            </w:tcMar>
            <w:vAlign w:val="center"/>
          </w:tcPr>
          <w:p>
            <w:r>
              <w:t>Template/action/schedule/UPN issue</w:t>
            </w:r>
          </w:p>
        </w:tc>
        <w:tc>
          <w:tcPr>
            <w:tcW w:type="dxa" w:w="3389"/>
            <w:tcMar>
              <w:top w:w="105" w:type="dxa"/>
              <w:start w:w="125" w:type="dxa"/>
              <w:bottom w:w="105" w:type="dxa"/>
              <w:end w:w="125" w:type="dxa"/>
            </w:tcMar>
            <w:vAlign w:val="center"/>
          </w:tcPr>
          <w:p>
            <w:r>
              <w:t>Confirm notification template, action, locale, user email, and timing.</w:t>
            </w:r>
          </w:p>
        </w:tc>
      </w:tr>
      <w:tr>
        <w:tc>
          <w:tcPr>
            <w:tcW w:type="dxa" w:w="3389"/>
            <w:tcMar>
              <w:top w:w="105" w:type="dxa"/>
              <w:start w:w="125" w:type="dxa"/>
              <w:bottom w:w="105" w:type="dxa"/>
              <w:end w:w="125" w:type="dxa"/>
            </w:tcMar>
            <w:vAlign w:val="center"/>
          </w:tcPr>
          <w:p>
            <w:r>
              <w:t>Conditional Access not blocking</w:t>
            </w:r>
          </w:p>
        </w:tc>
        <w:tc>
          <w:tcPr>
            <w:tcW w:type="dxa" w:w="3389"/>
            <w:tcMar>
              <w:top w:w="105" w:type="dxa"/>
              <w:start w:w="125" w:type="dxa"/>
              <w:bottom w:w="105" w:type="dxa"/>
              <w:end w:w="125" w:type="dxa"/>
            </w:tcMar>
            <w:vAlign w:val="center"/>
          </w:tcPr>
          <w:p>
            <w:r>
              <w:t>CA scope, mode, grant control, stale sign-in</w:t>
            </w:r>
          </w:p>
        </w:tc>
        <w:tc>
          <w:tcPr>
            <w:tcW w:type="dxa" w:w="3389"/>
            <w:tcMar>
              <w:top w:w="105" w:type="dxa"/>
              <w:start w:w="125" w:type="dxa"/>
              <w:bottom w:w="105" w:type="dxa"/>
              <w:end w:w="125" w:type="dxa"/>
            </w:tcMar>
            <w:vAlign w:val="center"/>
          </w:tcPr>
          <w:p>
            <w:r>
              <w:t>Review What If and sign-in logs; confirm Require compliant device.</w:t>
            </w:r>
          </w:p>
        </w:tc>
      </w:tr>
      <w:tr>
        <w:tc>
          <w:tcPr>
            <w:tcW w:type="dxa" w:w="3389"/>
            <w:tcMar>
              <w:top w:w="105" w:type="dxa"/>
              <w:start w:w="125" w:type="dxa"/>
              <w:bottom w:w="105" w:type="dxa"/>
              <w:end w:w="125" w:type="dxa"/>
            </w:tcMar>
            <w:vAlign w:val="center"/>
          </w:tcPr>
          <w:p>
            <w:r>
              <w:t>Unexpected lockout</w:t>
            </w:r>
          </w:p>
        </w:tc>
        <w:tc>
          <w:tcPr>
            <w:tcW w:type="dxa" w:w="3389"/>
            <w:tcMar>
              <w:top w:w="105" w:type="dxa"/>
              <w:start w:w="125" w:type="dxa"/>
              <w:bottom w:w="105" w:type="dxa"/>
              <w:end w:w="125" w:type="dxa"/>
            </w:tcMar>
            <w:vAlign w:val="center"/>
          </w:tcPr>
          <w:p>
            <w:r>
              <w:t>Broad CA scope, no grace/exclusion, unknown state</w:t>
            </w:r>
          </w:p>
        </w:tc>
        <w:tc>
          <w:tcPr>
            <w:tcW w:type="dxa" w:w="3389"/>
            <w:tcMar>
              <w:top w:w="105" w:type="dxa"/>
              <w:start w:w="125" w:type="dxa"/>
              <w:bottom w:w="105" w:type="dxa"/>
              <w:end w:w="125" w:type="dxa"/>
            </w:tcMar>
            <w:vAlign w:val="center"/>
          </w:tcPr>
          <w:p>
            <w:r>
              <w:t>Use approved emergency process; review report-only evidence and exclusions.</w:t>
            </w:r>
          </w:p>
        </w:tc>
      </w:tr>
      <w:tr>
        <w:tc>
          <w:tcPr>
            <w:tcW w:type="dxa" w:w="3389"/>
            <w:tcMar>
              <w:top w:w="105" w:type="dxa"/>
              <w:start w:w="125" w:type="dxa"/>
              <w:bottom w:w="105" w:type="dxa"/>
              <w:end w:w="125" w:type="dxa"/>
            </w:tcMar>
            <w:vAlign w:val="center"/>
          </w:tcPr>
          <w:p>
            <w:r>
              <w:t>BitLocker noncompliant</w:t>
            </w:r>
          </w:p>
        </w:tc>
        <w:tc>
          <w:tcPr>
            <w:tcW w:type="dxa" w:w="3389"/>
            <w:tcMar>
              <w:top w:w="105" w:type="dxa"/>
              <w:start w:w="125" w:type="dxa"/>
              <w:bottom w:w="105" w:type="dxa"/>
              <w:end w:w="125" w:type="dxa"/>
            </w:tcMar>
            <w:vAlign w:val="center"/>
          </w:tcPr>
          <w:p>
            <w:r>
              <w:t>Encryption incomplete, policy failed, unsupported state</w:t>
            </w:r>
          </w:p>
        </w:tc>
        <w:tc>
          <w:tcPr>
            <w:tcW w:type="dxa" w:w="3389"/>
            <w:tcMar>
              <w:top w:w="105" w:type="dxa"/>
              <w:start w:w="125" w:type="dxa"/>
              <w:bottom w:w="105" w:type="dxa"/>
              <w:end w:w="125" w:type="dxa"/>
            </w:tcMar>
            <w:vAlign w:val="center"/>
          </w:tcPr>
          <w:p>
            <w:r>
              <w:t>Review disk encryption policy, local protection status, recovery-key escrow.</w:t>
            </w:r>
          </w:p>
        </w:tc>
      </w:tr>
      <w:tr>
        <w:tc>
          <w:tcPr>
            <w:tcW w:type="dxa" w:w="3389"/>
            <w:tcMar>
              <w:top w:w="105" w:type="dxa"/>
              <w:start w:w="125" w:type="dxa"/>
              <w:bottom w:w="105" w:type="dxa"/>
              <w:end w:w="125" w:type="dxa"/>
            </w:tcMar>
            <w:vAlign w:val="center"/>
          </w:tcPr>
          <w:p>
            <w:r>
              <w:t>Firewall/AV noncompliant</w:t>
            </w:r>
          </w:p>
        </w:tc>
        <w:tc>
          <w:tcPr>
            <w:tcW w:type="dxa" w:w="3389"/>
            <w:tcMar>
              <w:top w:w="105" w:type="dxa"/>
              <w:start w:w="125" w:type="dxa"/>
              <w:bottom w:w="105" w:type="dxa"/>
              <w:end w:w="125" w:type="dxa"/>
            </w:tcMar>
            <w:vAlign w:val="center"/>
          </w:tcPr>
          <w:p>
            <w:r>
              <w:t>Service disabled or security product reporting issue</w:t>
            </w:r>
          </w:p>
        </w:tc>
        <w:tc>
          <w:tcPr>
            <w:tcW w:type="dxa" w:w="3389"/>
            <w:tcMar>
              <w:top w:w="105" w:type="dxa"/>
              <w:start w:w="125" w:type="dxa"/>
              <w:bottom w:w="105" w:type="dxa"/>
              <w:end w:w="125" w:type="dxa"/>
            </w:tcMar>
            <w:vAlign w:val="center"/>
          </w:tcPr>
          <w:p>
            <w:r>
              <w:t>Validate local security provider and Endpoint security policy.</w:t>
            </w:r>
          </w:p>
        </w:tc>
      </w:tr>
      <w:tr>
        <w:tc>
          <w:tcPr>
            <w:tcW w:type="dxa" w:w="3389"/>
            <w:tcMar>
              <w:top w:w="105" w:type="dxa"/>
              <w:start w:w="125" w:type="dxa"/>
              <w:bottom w:w="105" w:type="dxa"/>
              <w:end w:w="125" w:type="dxa"/>
            </w:tcMar>
            <w:vAlign w:val="center"/>
          </w:tcPr>
          <w:p>
            <w:r>
              <w:t>Stale device remains noncompliant</w:t>
            </w:r>
          </w:p>
        </w:tc>
        <w:tc>
          <w:tcPr>
            <w:tcW w:type="dxa" w:w="3389"/>
            <w:tcMar>
              <w:top w:w="105" w:type="dxa"/>
              <w:start w:w="125" w:type="dxa"/>
              <w:bottom w:w="105" w:type="dxa"/>
              <w:end w:w="125" w:type="dxa"/>
            </w:tcMar>
            <w:vAlign w:val="center"/>
          </w:tcPr>
          <w:p>
            <w:r>
              <w:t>Device no longer active</w:t>
            </w:r>
          </w:p>
        </w:tc>
        <w:tc>
          <w:tcPr>
            <w:tcW w:type="dxa" w:w="3389"/>
            <w:tcMar>
              <w:top w:w="105" w:type="dxa"/>
              <w:start w:w="125" w:type="dxa"/>
              <w:bottom w:w="105" w:type="dxa"/>
              <w:end w:w="125" w:type="dxa"/>
            </w:tcMar>
            <w:vAlign w:val="center"/>
          </w:tcPr>
          <w:p>
            <w:r>
              <w:t>Use stale-device and lifecycle process; do not treat as an active endpoint.</w:t>
            </w:r>
          </w:p>
        </w:tc>
      </w:tr>
    </w:tbl>
    <w:p>
      <w:pPr>
        <w:pStyle w:val="Heading2"/>
      </w:pPr>
      <w:r>
        <w:t>12.1 Useful client checks</w:t>
      </w:r>
    </w:p>
    <w:tbl>
      <w:tblPr>
        <w:tblW w:type="auto" w:w="0"/>
        <w:tblLook w:firstColumn="1" w:firstRow="1" w:lastColumn="0" w:lastRow="0" w:noHBand="0" w:noVBand="1" w:val="04A0"/>
      </w:tblPr>
      <w:tblGrid>
        <w:gridCol w:w="10166"/>
      </w:tblGrid>
      <w:tr>
        <w:tc>
          <w:tcPr>
            <w:tcW w:type="dxa" w:w="10166"/>
            <w:shd w:fill="1E1E1E"/>
            <w:tcMar>
              <w:top w:w="135" w:type="dxa"/>
              <w:start w:w="155" w:type="dxa"/>
              <w:bottom w:w="135" w:type="dxa"/>
              <w:end w:w="155" w:type="dxa"/>
            </w:tcMar>
          </w:tcPr>
          <w:p>
            <w:pPr>
              <w:pStyle w:val="Code"/>
            </w:pPr>
            <w:r/>
            <w:r>
              <w:t>dsregcmd /status</w:t>
            </w:r>
          </w:p>
          <w:p>
            <w:pPr>
              <w:pStyle w:val="Code"/>
            </w:pPr>
            <w:r>
              <w:t>Get-BitLockerVolume</w:t>
            </w:r>
          </w:p>
          <w:p>
            <w:pPr>
              <w:pStyle w:val="Code"/>
            </w:pPr>
            <w:r>
              <w:t>Get-NetFirewallProfile</w:t>
            </w:r>
          </w:p>
          <w:p>
            <w:pPr>
              <w:pStyle w:val="Code"/>
            </w:pPr>
            <w:r>
              <w:t>Get-MpComputerStatus</w:t>
            </w:r>
          </w:p>
          <w:p>
            <w:pPr>
              <w:pStyle w:val="Code"/>
            </w:pPr>
            <w:r>
              <w:t>Get-ScheduledTask | Where-Object {$_.TaskPath -like "*EnterpriseMgmt*"}</w:t>
            </w:r>
          </w:p>
        </w:tc>
      </w:tr>
    </w:tbl>
    <w:p/>
    <w:p>
      <w:pPr>
        <w:pStyle w:val="Heading2"/>
      </w:pPr>
      <w:r>
        <w:t>12.2 Event Viewer</w:t>
      </w:r>
    </w:p>
    <w:p>
      <w:pPr>
        <w:pStyle w:val="ListBullet"/>
      </w:pPr>
      <w:r>
        <w:t>Applications and Services Logs &gt; Microsoft &gt; Windows &gt; DeviceManagement-Enterprise-Diagnostics-Provider &gt; Admin.</w:t>
      </w:r>
    </w:p>
    <w:p>
      <w:pPr>
        <w:pStyle w:val="ListBullet"/>
      </w:pPr>
      <w:r>
        <w:t>Applications and Services Logs &gt; Microsoft &gt; Windows &gt; User Device Registration &gt; Admin.</w:t>
      </w:r>
    </w:p>
    <w:p>
      <w:pPr>
        <w:pStyle w:val="ListBullet"/>
      </w:pPr>
      <w:r>
        <w:t>Intune Management Extension logs for Windows custom compliance scripts.</w:t>
      </w:r>
    </w:p>
    <w:p>
      <w:r>
        <w:br w:type="page"/>
      </w:r>
    </w:p>
    <w:p>
      <w:pPr>
        <w:pStyle w:val="Title"/>
        <w:jc w:val="center"/>
      </w:pPr>
      <w:r>
        <w:t>13. Production Rollout and Governance</w:t>
      </w:r>
    </w:p>
    <w:p>
      <w:pPr>
        <w:pStyle w:val="Heading2"/>
      </w:pPr>
      <w:r>
        <w:t>13.1 Rollout rings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05" w:type="dxa"/>
              <w:start w:w="125" w:type="dxa"/>
              <w:bottom w:w="105" w:type="dxa"/>
              <w:end w:w="125" w:type="dxa"/>
            </w:tcMar>
          </w:tcPr>
          <w:p>
            <w:r>
              <w:rPr>
                <w:b/>
                <w:color w:val="FFFFFF"/>
              </w:rPr>
              <w:t>Phase</w:t>
            </w:r>
          </w:p>
        </w:tc>
        <w:tc>
          <w:tcPr>
            <w:tcW w:type="dxa" w:w="3389"/>
            <w:shd w:fill="17365D"/>
            <w:tcMar>
              <w:top w:w="105" w:type="dxa"/>
              <w:start w:w="125" w:type="dxa"/>
              <w:bottom w:w="105" w:type="dxa"/>
              <w:end w:w="125" w:type="dxa"/>
            </w:tcMar>
          </w:tcPr>
          <w:p>
            <w:r>
              <w:rPr>
                <w:b/>
                <w:color w:val="FFFFFF"/>
              </w:rPr>
              <w:t>Scope</w:t>
            </w:r>
          </w:p>
        </w:tc>
        <w:tc>
          <w:tcPr>
            <w:tcW w:type="dxa" w:w="3389"/>
            <w:shd w:fill="17365D"/>
            <w:tcMar>
              <w:top w:w="105" w:type="dxa"/>
              <w:start w:w="125" w:type="dxa"/>
              <w:bottom w:w="105" w:type="dxa"/>
              <w:end w:w="125" w:type="dxa"/>
            </w:tcMar>
          </w:tcPr>
          <w:p>
            <w:r>
              <w:rPr>
                <w:b/>
                <w:color w:val="FFFFFF"/>
              </w:rPr>
              <w:t>Exit criteria</w:t>
            </w:r>
          </w:p>
        </w:tc>
      </w:tr>
      <w:tr>
        <w:tc>
          <w:tcPr>
            <w:tcW w:type="dxa" w:w="3389"/>
            <w:tcMar>
              <w:top w:w="105" w:type="dxa"/>
              <w:start w:w="125" w:type="dxa"/>
              <w:bottom w:w="105" w:type="dxa"/>
              <w:end w:w="125" w:type="dxa"/>
            </w:tcMar>
            <w:vAlign w:val="center"/>
          </w:tcPr>
          <w:p>
            <w:r>
              <w:t>Lab</w:t>
            </w:r>
          </w:p>
        </w:tc>
        <w:tc>
          <w:tcPr>
            <w:tcW w:type="dxa" w:w="3389"/>
            <w:tcMar>
              <w:top w:w="105" w:type="dxa"/>
              <w:start w:w="125" w:type="dxa"/>
              <w:bottom w:w="105" w:type="dxa"/>
              <w:end w:w="125" w:type="dxa"/>
            </w:tcMar>
            <w:vAlign w:val="center"/>
          </w:tcPr>
          <w:p>
            <w:r>
              <w:t>Endpoint engineers</w:t>
            </w:r>
          </w:p>
        </w:tc>
        <w:tc>
          <w:tcPr>
            <w:tcW w:type="dxa" w:w="3389"/>
            <w:tcMar>
              <w:top w:w="105" w:type="dxa"/>
              <w:start w:w="125" w:type="dxa"/>
              <w:bottom w:w="105" w:type="dxa"/>
              <w:end w:w="125" w:type="dxa"/>
            </w:tcMar>
            <w:vAlign w:val="center"/>
          </w:tcPr>
          <w:p>
            <w:r>
              <w:t>Evaluation, remediation, reporting pass</w:t>
            </w:r>
          </w:p>
        </w:tc>
      </w:tr>
      <w:tr>
        <w:tc>
          <w:tcPr>
            <w:tcW w:type="dxa" w:w="3389"/>
            <w:tcMar>
              <w:top w:w="105" w:type="dxa"/>
              <w:start w:w="125" w:type="dxa"/>
              <w:bottom w:w="105" w:type="dxa"/>
              <w:end w:w="125" w:type="dxa"/>
            </w:tcMar>
            <w:vAlign w:val="center"/>
          </w:tcPr>
          <w:p>
            <w:r>
              <w:t>IT pilot</w:t>
            </w:r>
          </w:p>
        </w:tc>
        <w:tc>
          <w:tcPr>
            <w:tcW w:type="dxa" w:w="3389"/>
            <w:tcMar>
              <w:top w:w="105" w:type="dxa"/>
              <w:start w:w="125" w:type="dxa"/>
              <w:bottom w:w="105" w:type="dxa"/>
              <w:end w:w="125" w:type="dxa"/>
            </w:tcMar>
            <w:vAlign w:val="center"/>
          </w:tcPr>
          <w:p>
            <w:r>
              <w:t>IT users/devices</w:t>
            </w:r>
          </w:p>
        </w:tc>
        <w:tc>
          <w:tcPr>
            <w:tcW w:type="dxa" w:w="3389"/>
            <w:tcMar>
              <w:top w:w="105" w:type="dxa"/>
              <w:start w:w="125" w:type="dxa"/>
              <w:bottom w:w="105" w:type="dxa"/>
              <w:end w:w="125" w:type="dxa"/>
            </w:tcMar>
            <w:vAlign w:val="center"/>
          </w:tcPr>
          <w:p>
            <w:r>
              <w:t>Notifications and support process pass</w:t>
            </w:r>
          </w:p>
        </w:tc>
      </w:tr>
      <w:tr>
        <w:tc>
          <w:tcPr>
            <w:tcW w:type="dxa" w:w="3389"/>
            <w:tcMar>
              <w:top w:w="105" w:type="dxa"/>
              <w:start w:w="125" w:type="dxa"/>
              <w:bottom w:w="105" w:type="dxa"/>
              <w:end w:w="125" w:type="dxa"/>
            </w:tcMar>
            <w:vAlign w:val="center"/>
          </w:tcPr>
          <w:p>
            <w:r>
              <w:t>Business pilot</w:t>
            </w:r>
          </w:p>
        </w:tc>
        <w:tc>
          <w:tcPr>
            <w:tcW w:type="dxa" w:w="3389"/>
            <w:tcMar>
              <w:top w:w="105" w:type="dxa"/>
              <w:start w:w="125" w:type="dxa"/>
              <w:bottom w:w="105" w:type="dxa"/>
              <w:end w:w="125" w:type="dxa"/>
            </w:tcMar>
            <w:vAlign w:val="center"/>
          </w:tcPr>
          <w:p>
            <w:r>
              <w:t>Representative users and hardware</w:t>
            </w:r>
          </w:p>
        </w:tc>
        <w:tc>
          <w:tcPr>
            <w:tcW w:type="dxa" w:w="3389"/>
            <w:tcMar>
              <w:top w:w="105" w:type="dxa"/>
              <w:start w:w="125" w:type="dxa"/>
              <w:bottom w:w="105" w:type="dxa"/>
              <w:end w:w="125" w:type="dxa"/>
            </w:tcMar>
            <w:vAlign w:val="center"/>
          </w:tcPr>
          <w:p>
            <w:r>
              <w:t>Low false-positive and acceptable support volume</w:t>
            </w:r>
          </w:p>
        </w:tc>
      </w:tr>
      <w:tr>
        <w:tc>
          <w:tcPr>
            <w:tcW w:type="dxa" w:w="3389"/>
            <w:tcMar>
              <w:top w:w="105" w:type="dxa"/>
              <w:start w:w="125" w:type="dxa"/>
              <w:bottom w:w="105" w:type="dxa"/>
              <w:end w:w="125" w:type="dxa"/>
            </w:tcMar>
            <w:vAlign w:val="center"/>
          </w:tcPr>
          <w:p>
            <w:r>
              <w:t>Report-only CA</w:t>
            </w:r>
          </w:p>
        </w:tc>
        <w:tc>
          <w:tcPr>
            <w:tcW w:type="dxa" w:w="3389"/>
            <w:tcMar>
              <w:top w:w="105" w:type="dxa"/>
              <w:start w:w="125" w:type="dxa"/>
              <w:bottom w:w="105" w:type="dxa"/>
              <w:end w:w="125" w:type="dxa"/>
            </w:tcMar>
            <w:vAlign w:val="center"/>
          </w:tcPr>
          <w:p>
            <w:r>
              <w:t>Wider population</w:t>
            </w:r>
          </w:p>
        </w:tc>
        <w:tc>
          <w:tcPr>
            <w:tcW w:type="dxa" w:w="3389"/>
            <w:tcMar>
              <w:top w:w="105" w:type="dxa"/>
              <w:start w:w="125" w:type="dxa"/>
              <w:bottom w:w="105" w:type="dxa"/>
              <w:end w:w="125" w:type="dxa"/>
            </w:tcMar>
            <w:vAlign w:val="center"/>
          </w:tcPr>
          <w:p>
            <w:r>
              <w:t>Sign-in impact reviewed</w:t>
            </w:r>
          </w:p>
        </w:tc>
      </w:tr>
      <w:tr>
        <w:tc>
          <w:tcPr>
            <w:tcW w:type="dxa" w:w="3389"/>
            <w:tcMar>
              <w:top w:w="105" w:type="dxa"/>
              <w:start w:w="125" w:type="dxa"/>
              <w:bottom w:w="105" w:type="dxa"/>
              <w:end w:w="125" w:type="dxa"/>
            </w:tcMar>
            <w:vAlign w:val="center"/>
          </w:tcPr>
          <w:p>
            <w:r>
              <w:t>Enforced production</w:t>
            </w:r>
          </w:p>
        </w:tc>
        <w:tc>
          <w:tcPr>
            <w:tcW w:type="dxa" w:w="3389"/>
            <w:tcMar>
              <w:top w:w="105" w:type="dxa"/>
              <w:start w:w="125" w:type="dxa"/>
              <w:bottom w:w="105" w:type="dxa"/>
              <w:end w:w="125" w:type="dxa"/>
            </w:tcMar>
            <w:vAlign w:val="center"/>
          </w:tcPr>
          <w:p>
            <w:r>
              <w:t>Approved groups</w:t>
            </w:r>
          </w:p>
        </w:tc>
        <w:tc>
          <w:tcPr>
            <w:tcW w:type="dxa" w:w="3389"/>
            <w:tcMar>
              <w:top w:w="105" w:type="dxa"/>
              <w:start w:w="125" w:type="dxa"/>
              <w:bottom w:w="105" w:type="dxa"/>
              <w:end w:w="125" w:type="dxa"/>
            </w:tcMar>
            <w:vAlign w:val="center"/>
          </w:tcPr>
          <w:p>
            <w:r>
              <w:t>Security owner approval and rollback ready</w:t>
            </w:r>
          </w:p>
        </w:tc>
      </w:tr>
    </w:tbl>
    <w:p>
      <w:pPr>
        <w:pStyle w:val="Heading2"/>
      </w:pPr>
      <w:r>
        <w:t>13.2 Governance checklist</w:t>
      </w:r>
    </w:p>
    <w:p>
      <w:pPr>
        <w:pStyle w:val="ListBullet"/>
      </w:pPr>
      <w:r>
        <w:t>Policy owner and purpose.</w:t>
      </w:r>
    </w:p>
    <w:p>
      <w:pPr>
        <w:pStyle w:val="ListBullet"/>
      </w:pPr>
      <w:r>
        <w:t>Included/excluded groups.</w:t>
      </w:r>
    </w:p>
    <w:p>
      <w:pPr>
        <w:pStyle w:val="ListBullet"/>
      </w:pPr>
      <w:r>
        <w:t>Required remediation policies.</w:t>
      </w:r>
    </w:p>
    <w:p>
      <w:pPr>
        <w:pStyle w:val="ListBullet"/>
      </w:pPr>
      <w:r>
        <w:t>Noncompliance actions and grace period.</w:t>
      </w:r>
    </w:p>
    <w:p>
      <w:pPr>
        <w:pStyle w:val="ListBullet"/>
      </w:pPr>
      <w:r>
        <w:t>Notification template and support route.</w:t>
      </w:r>
    </w:p>
    <w:p>
      <w:pPr>
        <w:pStyle w:val="ListBullet"/>
      </w:pPr>
      <w:r>
        <w:t>Conditional Access dependency.</w:t>
      </w:r>
    </w:p>
    <w:p>
      <w:pPr>
        <w:pStyle w:val="ListBullet"/>
      </w:pPr>
      <w:r>
        <w:t>Emergency access exclusions.</w:t>
      </w:r>
    </w:p>
    <w:p>
      <w:pPr>
        <w:pStyle w:val="ListBullet"/>
      </w:pPr>
      <w:r>
        <w:t>Custom script code review.</w:t>
      </w:r>
    </w:p>
    <w:p>
      <w:pPr>
        <w:pStyle w:val="ListBullet"/>
      </w:pPr>
      <w:r>
        <w:t>Pilot evidence and rollback.</w:t>
      </w:r>
    </w:p>
    <w:p>
      <w:pPr>
        <w:pStyle w:val="ListBullet"/>
      </w:pPr>
      <w:r>
        <w:t>Review cadence and exception expiry.</w:t>
      </w:r>
    </w:p>
    <w:p>
      <w:r>
        <w:br w:type="page"/>
      </w:r>
    </w:p>
    <w:p>
      <w:pPr>
        <w:pStyle w:val="Title"/>
        <w:jc w:val="center"/>
      </w:pPr>
      <w:r>
        <w:t>14. Interview and Expert Reference</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05" w:type="dxa"/>
              <w:start w:w="125" w:type="dxa"/>
              <w:bottom w:w="105" w:type="dxa"/>
              <w:end w:w="125" w:type="dxa"/>
            </w:tcMar>
          </w:tcPr>
          <w:p>
            <w:r>
              <w:rPr>
                <w:b/>
                <w:color w:val="FFFFFF"/>
              </w:rPr>
              <w:t>Question</w:t>
            </w:r>
          </w:p>
        </w:tc>
        <w:tc>
          <w:tcPr>
            <w:tcW w:type="dxa" w:w="5083"/>
            <w:shd w:fill="17365D"/>
            <w:tcMar>
              <w:top w:w="105" w:type="dxa"/>
              <w:start w:w="125" w:type="dxa"/>
              <w:bottom w:w="105" w:type="dxa"/>
              <w:end w:w="125" w:type="dxa"/>
            </w:tcMar>
          </w:tcPr>
          <w:p>
            <w:r>
              <w:rPr>
                <w:b/>
                <w:color w:val="FFFFFF"/>
              </w:rPr>
              <w:t>Strong answer</w:t>
            </w:r>
          </w:p>
        </w:tc>
      </w:tr>
      <w:tr>
        <w:tc>
          <w:tcPr>
            <w:tcW w:type="dxa" w:w="5083"/>
            <w:tcMar>
              <w:top w:w="105" w:type="dxa"/>
              <w:start w:w="125" w:type="dxa"/>
              <w:bottom w:w="105" w:type="dxa"/>
              <w:end w:w="125" w:type="dxa"/>
            </w:tcMar>
            <w:vAlign w:val="center"/>
          </w:tcPr>
          <w:p>
            <w:r>
              <w:t>Compliance vs configuration?</w:t>
            </w:r>
          </w:p>
        </w:tc>
        <w:tc>
          <w:tcPr>
            <w:tcW w:type="dxa" w:w="5083"/>
            <w:tcMar>
              <w:top w:w="105" w:type="dxa"/>
              <w:start w:w="125" w:type="dxa"/>
              <w:bottom w:w="105" w:type="dxa"/>
              <w:end w:w="125" w:type="dxa"/>
            </w:tcMar>
            <w:vAlign w:val="center"/>
          </w:tcPr>
          <w:p>
            <w:r>
              <w:t>Configuration applies settings; compliance evaluates whether requirements are met.</w:t>
            </w:r>
          </w:p>
        </w:tc>
      </w:tr>
      <w:tr>
        <w:tc>
          <w:tcPr>
            <w:tcW w:type="dxa" w:w="5083"/>
            <w:tcMar>
              <w:top w:w="105" w:type="dxa"/>
              <w:start w:w="125" w:type="dxa"/>
              <w:bottom w:w="105" w:type="dxa"/>
              <w:end w:w="125" w:type="dxa"/>
            </w:tcMar>
            <w:vAlign w:val="center"/>
          </w:tcPr>
          <w:p>
            <w:r>
              <w:t>What does Conditional Access do?</w:t>
            </w:r>
          </w:p>
        </w:tc>
        <w:tc>
          <w:tcPr>
            <w:tcW w:type="dxa" w:w="5083"/>
            <w:tcMar>
              <w:top w:w="105" w:type="dxa"/>
              <w:start w:w="125" w:type="dxa"/>
              <w:bottom w:w="105" w:type="dxa"/>
              <w:end w:w="125" w:type="dxa"/>
            </w:tcMar>
            <w:vAlign w:val="center"/>
          </w:tcPr>
          <w:p>
            <w:r>
              <w:t>It can use the compliant-device signal as a grant requirement for access.</w:t>
            </w:r>
          </w:p>
        </w:tc>
      </w:tr>
      <w:tr>
        <w:tc>
          <w:tcPr>
            <w:tcW w:type="dxa" w:w="5083"/>
            <w:tcMar>
              <w:top w:w="105" w:type="dxa"/>
              <w:start w:w="125" w:type="dxa"/>
              <w:bottom w:w="105" w:type="dxa"/>
              <w:end w:w="125" w:type="dxa"/>
            </w:tcMar>
            <w:vAlign w:val="center"/>
          </w:tcPr>
          <w:p>
            <w:r>
              <w:t>What is grace period?</w:t>
            </w:r>
          </w:p>
        </w:tc>
        <w:tc>
          <w:tcPr>
            <w:tcW w:type="dxa" w:w="5083"/>
            <w:tcMar>
              <w:top w:w="105" w:type="dxa"/>
              <w:start w:w="125" w:type="dxa"/>
              <w:bottom w:w="105" w:type="dxa"/>
              <w:end w:w="125" w:type="dxa"/>
            </w:tcMar>
            <w:vAlign w:val="center"/>
          </w:tcPr>
          <w:p>
            <w:r>
              <w:t>Time between initial failure and scheduled noncompliance enforcement/action.</w:t>
            </w:r>
          </w:p>
        </w:tc>
      </w:tr>
      <w:tr>
        <w:tc>
          <w:tcPr>
            <w:tcW w:type="dxa" w:w="5083"/>
            <w:tcMar>
              <w:top w:w="105" w:type="dxa"/>
              <w:start w:w="125" w:type="dxa"/>
              <w:bottom w:w="105" w:type="dxa"/>
              <w:end w:w="125" w:type="dxa"/>
            </w:tcMar>
            <w:vAlign w:val="center"/>
          </w:tcPr>
          <w:p>
            <w:r>
              <w:t>Why Not evaluated?</w:t>
            </w:r>
          </w:p>
        </w:tc>
        <w:tc>
          <w:tcPr>
            <w:tcW w:type="dxa" w:w="5083"/>
            <w:tcMar>
              <w:top w:w="105" w:type="dxa"/>
              <w:start w:w="125" w:type="dxa"/>
              <w:bottom w:w="105" w:type="dxa"/>
              <w:end w:w="125" w:type="dxa"/>
            </w:tcMar>
            <w:vAlign w:val="center"/>
          </w:tcPr>
          <w:p>
            <w:r>
              <w:t>Device has not evaluated because of check-in, assignment, enrollment, user, or support conditions.</w:t>
            </w:r>
          </w:p>
        </w:tc>
      </w:tr>
      <w:tr>
        <w:tc>
          <w:tcPr>
            <w:tcW w:type="dxa" w:w="5083"/>
            <w:tcMar>
              <w:top w:w="105" w:type="dxa"/>
              <w:start w:w="125" w:type="dxa"/>
              <w:bottom w:w="105" w:type="dxa"/>
              <w:end w:w="125" w:type="dxa"/>
            </w:tcMar>
            <w:vAlign w:val="center"/>
          </w:tcPr>
          <w:p>
            <w:r>
              <w:t>How does custom compliance work?</w:t>
            </w:r>
          </w:p>
        </w:tc>
        <w:tc>
          <w:tcPr>
            <w:tcW w:type="dxa" w:w="5083"/>
            <w:tcMar>
              <w:top w:w="105" w:type="dxa"/>
              <w:start w:w="125" w:type="dxa"/>
              <w:bottom w:w="105" w:type="dxa"/>
              <w:end w:w="125" w:type="dxa"/>
            </w:tcMar>
            <w:vAlign w:val="center"/>
          </w:tcPr>
          <w:p>
            <w:r>
              <w:t>Discovery script outputs values; JSON rules define compliant values and remediation messages.</w:t>
            </w:r>
          </w:p>
        </w:tc>
      </w:tr>
      <w:tr>
        <w:tc>
          <w:tcPr>
            <w:tcW w:type="dxa" w:w="5083"/>
            <w:tcMar>
              <w:top w:w="105" w:type="dxa"/>
              <w:start w:w="125" w:type="dxa"/>
              <w:bottom w:w="105" w:type="dxa"/>
              <w:end w:w="125" w:type="dxa"/>
            </w:tcMar>
            <w:vAlign w:val="center"/>
          </w:tcPr>
          <w:p>
            <w:r>
              <w:t>Why start report-only?</w:t>
            </w:r>
          </w:p>
        </w:tc>
        <w:tc>
          <w:tcPr>
            <w:tcW w:type="dxa" w:w="5083"/>
            <w:tcMar>
              <w:top w:w="105" w:type="dxa"/>
              <w:start w:w="125" w:type="dxa"/>
              <w:bottom w:w="105" w:type="dxa"/>
              <w:end w:w="125" w:type="dxa"/>
            </w:tcMar>
            <w:vAlign w:val="center"/>
          </w:tcPr>
          <w:p>
            <w:r>
              <w:t>To understand real impact and reduce unintended user lockout before CA enforcement.</w:t>
            </w:r>
          </w:p>
        </w:tc>
      </w:tr>
      <w:tr>
        <w:tc>
          <w:tcPr>
            <w:tcW w:type="dxa" w:w="5083"/>
            <w:tcMar>
              <w:top w:w="105" w:type="dxa"/>
              <w:start w:w="125" w:type="dxa"/>
              <w:bottom w:w="105" w:type="dxa"/>
              <w:end w:w="125" w:type="dxa"/>
            </w:tcMar>
            <w:vAlign w:val="center"/>
          </w:tcPr>
          <w:p>
            <w:r>
              <w:t>How do you troubleshoot?</w:t>
            </w:r>
          </w:p>
        </w:tc>
        <w:tc>
          <w:tcPr>
            <w:tcW w:type="dxa" w:w="5083"/>
            <w:tcMar>
              <w:top w:w="105" w:type="dxa"/>
              <w:start w:w="125" w:type="dxa"/>
              <w:bottom w:w="105" w:type="dxa"/>
              <w:end w:w="125" w:type="dxa"/>
            </w:tcMar>
            <w:vAlign w:val="center"/>
          </w:tcPr>
          <w:p>
            <w:r>
              <w:t>Check identity, enrollment, assignment, check-in, per-setting status, remediation, then CA sign-in logs.</w:t>
            </w:r>
          </w:p>
        </w:tc>
      </w:tr>
      <w:tr>
        <w:tc>
          <w:tcPr>
            <w:tcW w:type="dxa" w:w="5083"/>
            <w:tcMar>
              <w:top w:w="105" w:type="dxa"/>
              <w:start w:w="125" w:type="dxa"/>
              <w:bottom w:w="105" w:type="dxa"/>
              <w:end w:w="125" w:type="dxa"/>
            </w:tcMar>
            <w:vAlign w:val="center"/>
          </w:tcPr>
          <w:p>
            <w:r>
              <w:t>What is default compliance policy?</w:t>
            </w:r>
          </w:p>
        </w:tc>
        <w:tc>
          <w:tcPr>
            <w:tcW w:type="dxa" w:w="5083"/>
            <w:tcMar>
              <w:top w:w="105" w:type="dxa"/>
              <w:start w:w="125" w:type="dxa"/>
              <w:bottom w:w="105" w:type="dxa"/>
              <w:end w:w="125" w:type="dxa"/>
            </w:tcMar>
            <w:vAlign w:val="center"/>
          </w:tcPr>
          <w:p>
            <w:r>
              <w:t>A built-in status policy that reports core management states and should not replace platform compliance policies.</w:t>
            </w:r>
          </w:p>
        </w:tc>
      </w:tr>
      <w:tr>
        <w:tc>
          <w:tcPr>
            <w:tcW w:type="dxa" w:w="5083"/>
            <w:tcMar>
              <w:top w:w="105" w:type="dxa"/>
              <w:start w:w="125" w:type="dxa"/>
              <w:bottom w:w="105" w:type="dxa"/>
              <w:end w:w="125" w:type="dxa"/>
            </w:tcMar>
            <w:vAlign w:val="center"/>
          </w:tcPr>
          <w:p>
            <w:r>
              <w:t>What is MDE risk integration?</w:t>
            </w:r>
          </w:p>
        </w:tc>
        <w:tc>
          <w:tcPr>
            <w:tcW w:type="dxa" w:w="5083"/>
            <w:tcMar>
              <w:top w:w="105" w:type="dxa"/>
              <w:start w:w="125" w:type="dxa"/>
              <w:bottom w:w="105" w:type="dxa"/>
              <w:end w:w="125" w:type="dxa"/>
            </w:tcMar>
            <w:vAlign w:val="center"/>
          </w:tcPr>
          <w:p>
            <w:r>
              <w:t>Defender risk can be used as a compliance requirement when integration and licensing are configured.</w:t>
            </w:r>
          </w:p>
        </w:tc>
      </w:tr>
      <w:tr>
        <w:tc>
          <w:tcPr>
            <w:tcW w:type="dxa" w:w="5083"/>
            <w:tcMar>
              <w:top w:w="105" w:type="dxa"/>
              <w:start w:w="125" w:type="dxa"/>
              <w:bottom w:w="105" w:type="dxa"/>
              <w:end w:w="125" w:type="dxa"/>
            </w:tcMar>
            <w:vAlign w:val="center"/>
          </w:tcPr>
          <w:p>
            <w:r>
              <w:t>Can compliance enable BitLocker?</w:t>
            </w:r>
          </w:p>
        </w:tc>
        <w:tc>
          <w:tcPr>
            <w:tcW w:type="dxa" w:w="5083"/>
            <w:tcMar>
              <w:top w:w="105" w:type="dxa"/>
              <w:start w:w="125" w:type="dxa"/>
              <w:bottom w:w="105" w:type="dxa"/>
              <w:end w:w="125" w:type="dxa"/>
            </w:tcMar>
            <w:vAlign w:val="center"/>
          </w:tcPr>
          <w:p>
            <w:r>
              <w:t>No. Use disk encryption/configuration policy to enable it; compliance verifies state.</w:t>
            </w:r>
          </w:p>
        </w:tc>
      </w:tr>
    </w:tbl>
    <w:p>
      <w:r>
        <w:br w:type="page"/>
      </w:r>
    </w:p>
    <w:p>
      <w:pPr>
        <w:pStyle w:val="Title"/>
        <w:jc w:val="center"/>
      </w:pPr>
      <w:r>
        <w:t>15. Reusable Policy and Incident Records</w:t>
      </w:r>
    </w:p>
    <w:p>
      <w:pPr>
        <w:pStyle w:val="Heading2"/>
      </w:pPr>
      <w:r>
        <w:t>15.1 Policy record</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05" w:type="dxa"/>
              <w:start w:w="125" w:type="dxa"/>
              <w:bottom w:w="105" w:type="dxa"/>
              <w:end w:w="125" w:type="dxa"/>
            </w:tcMar>
          </w:tcPr>
          <w:p>
            <w:r>
              <w:rPr>
                <w:b/>
                <w:color w:val="FFFFFF"/>
              </w:rPr>
              <w:t>Field</w:t>
            </w:r>
          </w:p>
        </w:tc>
        <w:tc>
          <w:tcPr>
            <w:tcW w:type="dxa" w:w="5083"/>
            <w:shd w:fill="17365D"/>
            <w:tcMar>
              <w:top w:w="105" w:type="dxa"/>
              <w:start w:w="125" w:type="dxa"/>
              <w:bottom w:w="105" w:type="dxa"/>
              <w:end w:w="125" w:type="dxa"/>
            </w:tcMar>
          </w:tcPr>
          <w:p>
            <w:r>
              <w:rPr>
                <w:b/>
                <w:color w:val="FFFFFF"/>
              </w:rPr>
              <w:t>Record</w:t>
            </w:r>
          </w:p>
        </w:tc>
      </w:tr>
      <w:tr>
        <w:tc>
          <w:tcPr>
            <w:tcW w:type="dxa" w:w="5083"/>
            <w:tcMar>
              <w:top w:w="105" w:type="dxa"/>
              <w:start w:w="125" w:type="dxa"/>
              <w:bottom w:w="105" w:type="dxa"/>
              <w:end w:w="125" w:type="dxa"/>
            </w:tcMar>
            <w:vAlign w:val="center"/>
          </w:tcPr>
          <w:p>
            <w:r>
              <w:t>Policy name/version</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Platform</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Owner</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Settings</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Assignments/exclusions</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Actions/grace</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Notification template</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Remediation profiles</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Conditional Access</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Pilot evidence</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Rollback</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Ticket/approval</w:t>
            </w:r>
          </w:p>
        </w:tc>
        <w:tc>
          <w:tcPr>
            <w:tcW w:type="dxa" w:w="5083"/>
            <w:tcMar>
              <w:top w:w="105" w:type="dxa"/>
              <w:start w:w="125" w:type="dxa"/>
              <w:bottom w:w="105" w:type="dxa"/>
              <w:end w:w="125" w:type="dxa"/>
            </w:tcMar>
            <w:vAlign w:val="center"/>
          </w:tcPr>
          <w:p>
            <w:r/>
          </w:p>
        </w:tc>
      </w:tr>
    </w:tbl>
    <w:p>
      <w:pPr>
        <w:pStyle w:val="Heading2"/>
      </w:pPr>
      <w:r>
        <w:t>15.2 Noncompliance incident</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05" w:type="dxa"/>
              <w:start w:w="125" w:type="dxa"/>
              <w:bottom w:w="105" w:type="dxa"/>
              <w:end w:w="125" w:type="dxa"/>
            </w:tcMar>
          </w:tcPr>
          <w:p>
            <w:r>
              <w:rPr>
                <w:b/>
                <w:color w:val="FFFFFF"/>
              </w:rPr>
              <w:t>Field</w:t>
            </w:r>
          </w:p>
        </w:tc>
        <w:tc>
          <w:tcPr>
            <w:tcW w:type="dxa" w:w="5083"/>
            <w:shd w:fill="17365D"/>
            <w:tcMar>
              <w:top w:w="105" w:type="dxa"/>
              <w:start w:w="125" w:type="dxa"/>
              <w:bottom w:w="105" w:type="dxa"/>
              <w:end w:w="125" w:type="dxa"/>
            </w:tcMar>
          </w:tcPr>
          <w:p>
            <w:r>
              <w:rPr>
                <w:b/>
                <w:color w:val="FFFFFF"/>
              </w:rPr>
              <w:t>Record</w:t>
            </w:r>
          </w:p>
        </w:tc>
      </w:tr>
      <w:tr>
        <w:tc>
          <w:tcPr>
            <w:tcW w:type="dxa" w:w="5083"/>
            <w:tcMar>
              <w:top w:w="105" w:type="dxa"/>
              <w:start w:w="125" w:type="dxa"/>
              <w:bottom w:w="105" w:type="dxa"/>
              <w:end w:w="125" w:type="dxa"/>
            </w:tcMar>
            <w:vAlign w:val="center"/>
          </w:tcPr>
          <w:p>
            <w:r>
              <w:t>Device/user</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Policy/setting</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Status/error</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Last check-in</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Business impact</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Remediation</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CA impact</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Final state</w:t>
            </w:r>
          </w:p>
        </w:tc>
        <w:tc>
          <w:tcPr>
            <w:tcW w:type="dxa" w:w="5083"/>
            <w:tcMar>
              <w:top w:w="105" w:type="dxa"/>
              <w:start w:w="125" w:type="dxa"/>
              <w:bottom w:w="105" w:type="dxa"/>
              <w:end w:w="125" w:type="dxa"/>
            </w:tcMar>
            <w:vAlign w:val="center"/>
          </w:tcPr>
          <w:p>
            <w:r/>
          </w:p>
        </w:tc>
      </w:tr>
      <w:tr>
        <w:tc>
          <w:tcPr>
            <w:tcW w:type="dxa" w:w="5083"/>
            <w:tcMar>
              <w:top w:w="105" w:type="dxa"/>
              <w:start w:w="125" w:type="dxa"/>
              <w:bottom w:w="105" w:type="dxa"/>
              <w:end w:w="125" w:type="dxa"/>
            </w:tcMar>
            <w:vAlign w:val="center"/>
          </w:tcPr>
          <w:p>
            <w:r>
              <w:t>Owner/date</w:t>
            </w:r>
          </w:p>
        </w:tc>
        <w:tc>
          <w:tcPr>
            <w:tcW w:type="dxa" w:w="5083"/>
            <w:tcMar>
              <w:top w:w="105" w:type="dxa"/>
              <w:start w:w="125" w:type="dxa"/>
              <w:bottom w:w="105" w:type="dxa"/>
              <w:end w:w="125" w:type="dxa"/>
            </w:tcMar>
            <w:vAlign w:val="center"/>
          </w:tcPr>
          <w:p>
            <w:r/>
          </w:p>
        </w:tc>
      </w:tr>
    </w:tbl>
    <w:p>
      <w:r>
        <w:br w:type="page"/>
      </w:r>
    </w:p>
    <w:p>
      <w:pPr>
        <w:pStyle w:val="Title"/>
        <w:jc w:val="center"/>
      </w:pPr>
      <w:r>
        <w:t>16. Official References and Maintenance</w:t>
      </w:r>
    </w:p>
    <w:p>
      <w:pPr>
        <w:pStyle w:val="ListBullet"/>
      </w:pPr>
      <w:r>
        <w:t>Microsoft Learn: Create device compliance policies - https://learn.microsoft.com/intune/device-security/compliance/create-policy</w:t>
      </w:r>
    </w:p>
    <w:p>
      <w:pPr>
        <w:pStyle w:val="ListBullet"/>
      </w:pPr>
      <w:r>
        <w:t>Microsoft Learn: Custom compliance settings - https://learn.microsoft.com/intune/device-security/compliance/custom-settings</w:t>
      </w:r>
    </w:p>
    <w:tbl>
      <w:tblPr>
        <w:tblW w:type="auto" w:w="0"/>
        <w:tblLook w:firstColumn="1" w:firstRow="1" w:lastColumn="0" w:lastRow="0" w:noHBand="0" w:noVBand="1" w:val="04A0"/>
      </w:tblPr>
      <w:tblGrid>
        <w:gridCol w:w="10166"/>
      </w:tblGrid>
      <w:tr>
        <w:tc>
          <w:tcPr>
            <w:tcW w:type="dxa" w:w="10166"/>
            <w:shd w:fill="EAF3F8"/>
            <w:tcMar>
              <w:top w:w="145" w:type="dxa"/>
              <w:start w:w="165" w:type="dxa"/>
              <w:bottom w:w="145" w:type="dxa"/>
              <w:end w:w="165" w:type="dxa"/>
            </w:tcMar>
          </w:tcPr>
          <w:p>
            <w:r>
              <w:rPr>
                <w:b/>
                <w:color w:val="0078D4"/>
              </w:rPr>
              <w:t>Review trigger</w:t>
              <w:br/>
            </w:r>
            <w:r>
              <w:t>Review this SOP when Microsoft changes supported platforms, compliance settings, custom compliance schema, portal navigation, Conditional Access behavior, Defender integration, licensing, or organizational security requirements.</w:t>
            </w:r>
          </w:p>
        </w:tc>
      </w:tr>
    </w:tbl>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Internal Master SOP  |  Compliance Policies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ENDPOINT MANAGEMENT  |  INTUNE COMPLIANCE POLICIES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78D4"/>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nsolas" w:hAnsi="Consolas"/>
      <w:color w:val="FFFFFF"/>
      <w:sz w:val="16"/>
    </w:rPr>
  </w:style>
  <w:style w:type="paragraph" w:customStyle="1" w:styleId="Cap">
    <w:name w:val="Cap"/>
    <w:rPr>
      <w:rFonts w:ascii="Aptos" w:hAnsi="Aptos"/>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Intune Compliance Policies Zero to Advanced Master SOP</dc:title>
  <dc:subject/>
  <dc:creator>Dnyaneshwar Karande</dc:creator>
  <keywords/>
  <dc:description>generated by python-docx</dc:description>
  <lastModifiedBy>Dnyaneshwar Karande</lastModifiedBy>
  <revision>1</revision>
  <dcterms:created xsi:type="dcterms:W3CDTF">2026-09-24T19:53:49.4284384Z</dcterms:created>
  <dcterms:modified xsi:type="dcterms:W3CDTF">2026-09-24T19:53:49.4284384Z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2026-09-24T19:53:49Z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dd72a2d2-8ec1-4f74-9b3a-e66f079e7fd4</vt:lpwstr>
  </property>
  <property fmtid="{D5CDD505-2E9C-101B-9397-08002B2CF9AE}" pid="7" name="MSIP_Label_defa4170-0d19-0005-0004-bc88714345d2_ActionId">
    <vt:lpwstr>6a24926f-4769-4b11-b179-260d2d6f3791</vt:lpwstr>
  </property>
  <property fmtid="{D5CDD505-2E9C-101B-9397-08002B2CF9AE}" pid="8" name="MSIP_Label_defa4170-0d19-0005-0004-bc88714345d2_ContentBits">
    <vt:lpwstr>0</vt:lpwstr>
  </property>
</Properties>
</file>