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rPr>
          <w:color w:val="C02B3E"/>
        </w:rPr>
        <w:t>Praman</w:t>
      </w:r>
    </w:p>
    <w:p>
      <w:pPr>
        <w:jc w:val="center"/>
      </w:pPr>
      <w:r>
        <w:rPr>
          <w:i/>
          <w:color w:val="5B6675"/>
          <w:sz w:val="20"/>
        </w:rPr>
        <w:t>प्रमाण  ·  proof; evidence; that which establishes a claim</w:t>
      </w:r>
    </w:p>
    <w:p>
      <w:pPr>
        <w:jc w:val="center"/>
      </w:pPr>
      <w:r>
        <w:rPr>
          <w:b/>
          <w:sz w:val="27"/>
        </w:rPr>
        <w:t>Breach and attack simulation for agentic payment mandates</w:t>
      </w:r>
    </w:p>
    <w:p>
      <w:pPr>
        <w:spacing w:after="80"/>
        <w:pBdr>
          <w:bottom w:val="single" w:sz="8" w:space="1" w:color="C02B3E"/>
        </w:pBdr>
      </w:pPr>
    </w:p>
    <w:p>
      <w:pPr>
        <w:jc w:val="center"/>
      </w:pPr>
      <w:r>
        <w:rPr>
          <w:color w:val="5B6675"/>
          <w:sz w:val="21"/>
        </w:rPr>
        <w:t>A product and technical report  ·  Mastercard Innovation Challenge @ GFF 2026</w:t>
      </w:r>
    </w:p>
    <w:p>
      <w:pPr>
        <w:jc w:val="center"/>
      </w:pPr>
      <w:r>
        <w:rPr>
          <w:b/>
          <w:sz w:val="23"/>
        </w:rPr>
        <w:t>Team AIZEN</w:t>
      </w:r>
    </w:p>
    <w:p>
      <w:pPr>
        <w:jc w:val="center"/>
      </w:pPr>
      <w:r>
        <w:rPr>
          <w:sz w:val="20"/>
        </w:rPr>
        <w:t>Prepared 30 August 2026</w:t>
        <w:br/>
        <w:t>Source code: https://github.com/DnyaneshU/praman</w:t>
        <w:br/>
        <w:t>Working prototype: https://huggingface.co/spaces/DnyaneshU/praman</w:t>
      </w:r>
    </w:p>
    <w:p/>
    <w:p>
      <w:pPr>
        <w:pStyle w:val="IntenseQuote"/>
      </w:pPr>
      <w:r>
        <w:t>In one sentence: AI agents are being given the authority to spend your money, the industry secures that authority with digital signatures, and signatures do not check whether the documents they sign agree with each other. Praman attacks that gap, measures what a control stops, then lets the attacker adapt and measures it again.</w:t>
      </w:r>
    </w:p>
    <w:p>
      <w:pPr>
        <w:pStyle w:val="Heading1"/>
      </w:pPr>
      <w:r>
        <w:t>The position, in eight numbers</w:t>
      </w:r>
    </w:p>
    <w:p>
      <w:r>
        <w:rPr>
          <w:color w:val="5B6675"/>
          <w:sz w:val="19"/>
        </w:rPr>
        <w:t>Read from the committed campaigns at build time. The undefended row is the same harness with the control switched off — one argument's difference.</w:t>
      </w:r>
    </w:p>
    <w:tbl>
      <w:tblPr>
        <w:tblStyle w:val="LightList-Accent1"/>
        <w:tblW w:type="auto" w:w="0"/>
        <w:tblLook w:firstColumn="1" w:firstRow="1" w:lastColumn="0" w:lastRow="0" w:noHBand="0" w:noVBand="1" w:val="04A0"/>
      </w:tblPr>
      <w:tblGrid>
        <w:gridCol w:w="4320"/>
        <w:gridCol w:w="4320"/>
      </w:tblGrid>
      <w:tr>
        <w:tc>
          <w:tcPr>
            <w:tcW w:type="dxa" w:w="4320"/>
          </w:tcPr>
          <w:p>
            <w:r>
              <w:rPr>
                <w:b/>
              </w:rPr>
              <w:t>Measure</w:t>
            </w:r>
          </w:p>
        </w:tc>
        <w:tc>
          <w:tcPr>
            <w:tcW w:type="dxa" w:w="4320"/>
          </w:tcPr>
          <w:p>
            <w:r>
              <w:rPr>
                <w:b/>
              </w:rPr>
              <w:t>Result</w:t>
            </w:r>
          </w:p>
        </w:tc>
      </w:tr>
      <w:tr>
        <w:tc>
          <w:tcPr>
            <w:tcW w:type="dxa" w:w="4320"/>
          </w:tcPr>
          <w:p>
            <w:r>
              <w:t>Attack vectors mapped</w:t>
            </w:r>
          </w:p>
        </w:tc>
        <w:tc>
          <w:tcPr>
            <w:tcW w:type="dxa" w:w="4320"/>
          </w:tcPr>
          <w:p>
            <w:r>
              <w:t>34 across 7 surfaces</w:t>
            </w:r>
          </w:p>
        </w:tc>
      </w:tr>
      <w:tr>
        <w:tc>
          <w:tcPr>
            <w:tcW w:type="dxa" w:w="4320"/>
          </w:tcPr>
          <w:p>
            <w:r>
              <w:t>Built, run and measured</w:t>
            </w:r>
          </w:p>
        </w:tc>
        <w:tc>
          <w:tcPr>
            <w:tcW w:type="dxa" w:w="4320"/>
          </w:tcPr>
          <w:p>
            <w:r>
              <w:t>6 of 34</w:t>
            </w:r>
          </w:p>
        </w:tc>
      </w:tr>
      <w:tr>
        <w:tc>
          <w:tcPr>
            <w:tcW w:type="dxa" w:w="4320"/>
          </w:tcPr>
          <w:p>
            <w:r>
              <w:t>Attack success with no control</w:t>
            </w:r>
          </w:p>
        </w:tc>
        <w:tc>
          <w:tcPr>
            <w:tcW w:type="dxa" w:w="4320"/>
          </w:tcPr>
          <w:p>
            <w:r>
              <w:t>100.0%</w:t>
            </w:r>
          </w:p>
        </w:tc>
      </w:tr>
      <w:tr>
        <w:tc>
          <w:tcPr>
            <w:tcW w:type="dxa" w:w="4320"/>
          </w:tcPr>
          <w:p>
            <w:r>
              <w:t>Attack success behind Tier 1</w:t>
            </w:r>
          </w:p>
        </w:tc>
        <w:tc>
          <w:tcPr>
            <w:tcW w:type="dxa" w:w="4320"/>
          </w:tcPr>
          <w:p>
            <w:r>
              <w:t>16.7%</w:t>
            </w:r>
          </w:p>
        </w:tc>
      </w:tr>
      <w:tr>
        <w:tc>
          <w:tcPr>
            <w:tcW w:type="dxa" w:w="4320"/>
          </w:tcPr>
          <w:p>
            <w:r>
              <w:t>Harm prevented</w:t>
            </w:r>
          </w:p>
        </w:tc>
        <w:tc>
          <w:tcPr>
            <w:tcW w:type="dxa" w:w="4320"/>
          </w:tcPr>
          <w:p>
            <w:r>
              <w:t>₹55,360.00 of the value at risk</w:t>
            </w:r>
          </w:p>
        </w:tc>
      </w:tr>
      <w:tr>
        <w:tc>
          <w:tcPr>
            <w:tcW w:type="dxa" w:w="4320"/>
          </w:tcPr>
          <w:p>
            <w:r>
              <w:t>Honest traffic still settling</w:t>
            </w:r>
          </w:p>
        </w:tc>
        <w:tc>
          <w:tcPr>
            <w:tcW w:type="dxa" w:w="4320"/>
          </w:tcPr>
          <w:p>
            <w:r>
              <w:t>100%</w:t>
            </w:r>
          </w:p>
        </w:tc>
      </w:tr>
      <w:tr>
        <w:tc>
          <w:tcPr>
            <w:tcW w:type="dxa" w:w="4320"/>
          </w:tcPr>
          <w:p>
            <w:r>
              <w:t>Attack success once the attacker adapts</w:t>
            </w:r>
          </w:p>
        </w:tc>
        <w:tc>
          <w:tcPr>
            <w:tcW w:type="dxa" w:w="4320"/>
          </w:tcPr>
          <w:p>
            <w:r>
              <w:t>+50.0 points</w:t>
            </w:r>
          </w:p>
        </w:tc>
      </w:tr>
      <w:tr>
        <w:tc>
          <w:tcPr>
            <w:tcW w:type="dxa" w:w="4320"/>
          </w:tcPr>
          <w:p>
            <w:r>
              <w:t>Cost of the control</w:t>
            </w:r>
          </w:p>
        </w:tc>
        <w:tc>
          <w:tcPr>
            <w:tcW w:type="dxa" w:w="4320"/>
          </w:tcPr>
          <w:p>
            <w:r>
              <w:t>3.5 ms per authorisation; no model, no network</w:t>
            </w:r>
          </w:p>
        </w:tc>
      </w:tr>
    </w:tbl>
    <w:p/>
    <w:p>
      <w:r>
        <w:br w:type="page"/>
      </w:r>
    </w:p>
    <w:p>
      <w:pPr>
        <w:pStyle w:val="Heading1"/>
      </w:pPr>
      <w:r>
        <w:t>Part I  ·  Why this exists</w:t>
      </w:r>
    </w:p>
    <w:p>
      <w:pPr>
        <w:pStyle w:val="Heading2"/>
      </w:pPr>
      <w:r>
        <w:t>A trillion-dollar flow is being built on an untested assumption</w:t>
      </w:r>
    </w:p>
    <w:p>
      <w:r>
        <w:t>The industry has settled on one answer to how an AI agent spends your money: cryptographically signed mandate chains. Google published AP2 in September 2025, Mastercard launched Agent Pay in April 2025, and NPCI is building the Unified Agent Protocol for UPI. All three sign the same three documents — Intent, Cart, Payment.</w:t>
      </w:r>
    </w:p>
    <w:p>
      <w:r>
        <w:rPr>
          <w:b/>
        </w:rPr>
        <w:t>The assumption underneath is that valid signatures mean a sound transaction. They do not. A signature proves who wrote a document; it says nothing about whether that document still agrees with the one before it.</w:t>
      </w:r>
    </w:p>
    <w:p>
      <w:pPr>
        <w:jc w:val="center"/>
      </w:pPr>
      <w:r>
        <w:drawing>
          <wp:inline xmlns:a="http://schemas.openxmlformats.org/drawingml/2006/main" xmlns:pic="http://schemas.openxmlformats.org/drawingml/2006/picture">
            <wp:extent cx="5852160" cy="3012523"/>
            <wp:docPr id="1" name="Picture 1"/>
            <wp:cNvGraphicFramePr>
              <a:graphicFrameLocks noChangeAspect="1"/>
            </wp:cNvGraphicFramePr>
            <a:graphic>
              <a:graphicData uri="http://schemas.openxmlformats.org/drawingml/2006/picture">
                <pic:pic>
                  <pic:nvPicPr>
                    <pic:cNvPr id="0" name="market-gap.png"/>
                    <pic:cNvPicPr/>
                  </pic:nvPicPr>
                  <pic:blipFill>
                    <a:blip r:embed="rId9"/>
                    <a:stretch>
                      <a:fillRect/>
                    </a:stretch>
                  </pic:blipFill>
                  <pic:spPr>
                    <a:xfrm>
                      <a:off x="0" y="0"/>
                      <a:ext cx="5852160" cy="3012523"/>
                    </a:xfrm>
                    <a:prstGeom prst="rect"/>
                  </pic:spPr>
                </pic:pic>
              </a:graphicData>
            </a:graphic>
          </wp:inline>
        </w:drawing>
      </w:r>
    </w:p>
    <w:p>
      <w:pPr>
        <w:jc w:val="center"/>
      </w:pPr>
      <w:r>
        <w:rPr>
          <w:b/>
          <w:color w:val="5B6675"/>
          <w:sz w:val="17"/>
        </w:rPr>
        <w:t>Figure 1 — What is being secured, and what secures it</w:t>
      </w:r>
    </w:p>
    <w:p>
      <w:r>
        <w:rPr>
          <w:sz w:val="20"/>
        </w:rPr>
        <w:t>Juniper Research puts agentic commerce at $1.5 trillion by 2030 and names trust as the number one barrier to it. Breach-and-attack simulation — attacking your own defences to find out what they stop — is a $1.29 billion market that covers networks and endpoints. We could not identify a single vendor in it that simulates a payment mandate. That is the gap Praman fills.</w:t>
      </w:r>
    </w:p>
    <w:p>
      <w:pPr>
        <w:pStyle w:val="Heading2"/>
      </w:pPr>
      <w:r>
        <w:t>The exposure is largest where the rails are busiest</w:t>
      </w:r>
    </w:p>
    <w:p>
      <w:pPr>
        <w:jc w:val="center"/>
      </w:pPr>
      <w:r>
        <w:drawing>
          <wp:inline xmlns:a="http://schemas.openxmlformats.org/drawingml/2006/main" xmlns:pic="http://schemas.openxmlformats.org/drawingml/2006/picture">
            <wp:extent cx="5852160" cy="2752516"/>
            <wp:docPr id="2" name="Picture 2"/>
            <wp:cNvGraphicFramePr>
              <a:graphicFrameLocks noChangeAspect="1"/>
            </wp:cNvGraphicFramePr>
            <a:graphic>
              <a:graphicData uri="http://schemas.openxmlformats.org/drawingml/2006/picture">
                <pic:pic>
                  <pic:nvPicPr>
                    <pic:cNvPr id="0" name="india-exposure.png"/>
                    <pic:cNvPicPr/>
                  </pic:nvPicPr>
                  <pic:blipFill>
                    <a:blip r:embed="rId10"/>
                    <a:stretch>
                      <a:fillRect/>
                    </a:stretch>
                  </pic:blipFill>
                  <pic:spPr>
                    <a:xfrm>
                      <a:off x="0" y="0"/>
                      <a:ext cx="5852160" cy="2752516"/>
                    </a:xfrm>
                    <a:prstGeom prst="rect"/>
                  </pic:spPr>
                </pic:pic>
              </a:graphicData>
            </a:graphic>
          </wp:inline>
        </w:drawing>
      </w:r>
    </w:p>
    <w:p>
      <w:pPr>
        <w:jc w:val="center"/>
      </w:pPr>
      <w:r>
        <w:rPr>
          <w:b/>
          <w:color w:val="5B6675"/>
          <w:sz w:val="17"/>
        </w:rPr>
        <w:t>Figure 2 — The rail Praman models, and what is already lost on it</w:t>
      </w:r>
    </w:p>
    <w:p>
      <w:r>
        <w:rPr>
          <w:sz w:val="20"/>
        </w:rPr>
        <w:t>UPI settles more than 23 billion payments a month. Today a human approves each one, and fraud on it still runs to roughly ₹1,000 crore a year. UAP would let an agent approve them instead. Nobody has measured what that does to the number — which is the measurement this project exists to make.</w:t>
      </w:r>
    </w:p>
    <w:p>
      <w:pPr>
        <w:pStyle w:val="Heading2"/>
      </w:pPr>
      <w:r>
        <w:t>What actually breaks</w:t>
      </w:r>
    </w:p>
    <w:p>
      <w:r>
        <w:t>None of the attacks that matter forge a signature. Every one of them keeps all three signatures valid and breaks a relationship between the documents: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The attack</w:t>
            </w:r>
          </w:p>
        </w:tc>
        <w:tc>
          <w:tcPr>
            <w:tcW w:type="dxa" w:w="2880"/>
          </w:tcPr>
          <w:p>
            <w:r>
              <w:rPr>
                <w:b/>
              </w:rPr>
              <w:t>In plain terms</w:t>
            </w:r>
          </w:p>
        </w:tc>
        <w:tc>
          <w:tcPr>
            <w:tcW w:type="dxa" w:w="2880"/>
          </w:tcPr>
          <w:p>
            <w:r>
              <w:rPr>
                <w:b/>
              </w:rPr>
              <w:t>Every signature still valid?</w:t>
            </w:r>
          </w:p>
        </w:tc>
      </w:tr>
      <w:tr>
        <w:tc>
          <w:tcPr>
            <w:tcW w:type="dxa" w:w="2880"/>
          </w:tcPr>
          <w:p>
            <w:r>
              <w:t>Cart substitution</w:t>
            </w:r>
          </w:p>
        </w:tc>
        <w:tc>
          <w:tcPr>
            <w:tcW w:type="dxa" w:w="2880"/>
          </w:tcPr>
          <w:p>
            <w:r>
              <w:t>You authorised shoes; the cart quietly becomes something else</w:t>
            </w:r>
          </w:p>
        </w:tc>
        <w:tc>
          <w:tcPr>
            <w:tcW w:type="dxa" w:w="2880"/>
          </w:tcPr>
          <w:p>
            <w:r>
              <w:t>Yes</w:t>
            </w:r>
          </w:p>
        </w:tc>
      </w:tr>
      <w:tr>
        <w:tc>
          <w:tcPr>
            <w:tcW w:type="dxa" w:w="2880"/>
          </w:tcPr>
          <w:p>
            <w:r>
              <w:t>Beneficiary rebinding</w:t>
            </w:r>
          </w:p>
        </w:tc>
        <w:tc>
          <w:tcPr>
            <w:tcW w:type="dxa" w:w="2880"/>
          </w:tcPr>
          <w:p>
            <w:r>
              <w:t>The right amount leaves, to the wrong bank account</w:t>
            </w:r>
          </w:p>
        </w:tc>
        <w:tc>
          <w:tcPr>
            <w:tcW w:type="dxa" w:w="2880"/>
          </w:tcPr>
          <w:p>
            <w:r>
              <w:t>Yes</w:t>
            </w:r>
          </w:p>
        </w:tc>
      </w:tr>
      <w:tr>
        <w:tc>
          <w:tcPr>
            <w:tcW w:type="dxa" w:w="2880"/>
          </w:tcPr>
          <w:p>
            <w:r>
              <w:t>Token-redemption race</w:t>
            </w:r>
          </w:p>
        </w:tc>
        <w:tc>
          <w:tcPr>
            <w:tcW w:type="dxa" w:w="2880"/>
          </w:tcPr>
          <w:p>
            <w:r>
              <w:t>One authorisation is spent three times, at the same moment</w:t>
            </w:r>
          </w:p>
        </w:tc>
        <w:tc>
          <w:tcPr>
            <w:tcW w:type="dxa" w:w="2880"/>
          </w:tcPr>
          <w:p>
            <w:r>
              <w:t>Yes</w:t>
            </w:r>
          </w:p>
        </w:tc>
      </w:tr>
      <w:tr>
        <w:tc>
          <w:tcPr>
            <w:tcW w:type="dxa" w:w="2880"/>
          </w:tcPr>
          <w:p>
            <w:r>
              <w:t>Invisible line item</w:t>
            </w:r>
          </w:p>
        </w:tc>
        <w:tc>
          <w:tcPr>
            <w:tcW w:type="dxa" w:w="2880"/>
          </w:tcPr>
          <w:p>
            <w:r>
              <w:t>You are charged for something the summary never showed you</w:t>
            </w:r>
          </w:p>
        </w:tc>
        <w:tc>
          <w:tcPr>
            <w:tcW w:type="dxa" w:w="2880"/>
          </w:tcPr>
          <w:p>
            <w:r>
              <w:t>Yes</w:t>
            </w:r>
          </w:p>
        </w:tc>
      </w:tr>
    </w:tbl>
    <w:p/>
    <w:p>
      <w:r>
        <w:br w:type="page"/>
      </w:r>
    </w:p>
    <w:p>
      <w:pPr>
        <w:pStyle w:val="Heading1"/>
      </w:pPr>
      <w:r>
        <w:t>Part II  ·  What Praman is, and why it is shaped this way</w:t>
      </w:r>
    </w:p>
    <w:p>
      <w:r>
        <w:t>A measuring instrument, not a detector. Four pieces that check each other: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What it is</w:t>
            </w:r>
          </w:p>
        </w:tc>
        <w:tc>
          <w:tcPr>
            <w:tcW w:type="dxa" w:w="2880"/>
          </w:tcPr>
          <w:p>
            <w:r>
              <w:rPr>
                <w:b/>
              </w:rPr>
              <w:t>What it settles</w:t>
            </w:r>
          </w:p>
        </w:tc>
      </w:tr>
      <w:tr>
        <w:tc>
          <w:tcPr>
            <w:tcW w:type="dxa" w:w="2880"/>
          </w:tcPr>
          <w:p>
            <w:r>
              <w:t>The range</w:t>
            </w:r>
          </w:p>
        </w:tc>
        <w:tc>
          <w:tcPr>
            <w:tcW w:type="dxa" w:w="2880"/>
          </w:tcPr>
          <w:p>
            <w:r>
              <w:t>A simulated payment rail — signed mandates, a merchant population, a double-entry ledger</w:t>
            </w:r>
          </w:p>
        </w:tc>
        <w:tc>
          <w:tcPr>
            <w:tcW w:type="dxa" w:w="2880"/>
          </w:tcPr>
          <w:p>
            <w:r>
              <w:t>Where an attack's money actually ends up</w:t>
            </w:r>
          </w:p>
        </w:tc>
      </w:tr>
      <w:tr>
        <w:tc>
          <w:tcPr>
            <w:tcW w:type="dxa" w:w="2880"/>
          </w:tcPr>
          <w:p>
            <w:r>
              <w:t>Red</w:t>
            </w:r>
          </w:p>
        </w:tc>
        <w:tc>
          <w:tcPr>
            <w:tcW w:type="dxa" w:w="2880"/>
          </w:tcPr>
          <w:p>
            <w:r>
              <w:t>An attack corpus, plus a search that adapts to the defence</w:t>
            </w:r>
          </w:p>
        </w:tc>
        <w:tc>
          <w:tcPr>
            <w:tcW w:type="dxa" w:w="2880"/>
          </w:tcPr>
          <w:p>
            <w:r>
              <w:t>What an attacker can do, including things nobody wrote down</w:t>
            </w:r>
          </w:p>
        </w:tc>
      </w:tr>
      <w:tr>
        <w:tc>
          <w:tcPr>
            <w:tcW w:type="dxa" w:w="2880"/>
          </w:tcPr>
          <w:p>
            <w:r>
              <w:t>Blue</w:t>
            </w:r>
          </w:p>
        </w:tc>
        <w:tc>
          <w:tcPr>
            <w:tcW w:type="dxa" w:w="2880"/>
          </w:tcPr>
          <w:p>
            <w:r>
              <w:t>A three-tier reference monitor sitting outside the agent</w:t>
            </w:r>
          </w:p>
        </w:tc>
        <w:tc>
          <w:tcPr>
            <w:tcW w:type="dxa" w:w="2880"/>
          </w:tcPr>
          <w:p>
            <w:r>
              <w:t>What a control stops, and what it costs to run</w:t>
            </w:r>
          </w:p>
        </w:tc>
      </w:tr>
      <w:tr>
        <w:tc>
          <w:tcPr>
            <w:tcW w:type="dxa" w:w="2880"/>
          </w:tcPr>
          <w:p>
            <w:r>
              <w:t>The arena</w:t>
            </w:r>
          </w:p>
        </w:tc>
        <w:tc>
          <w:tcPr>
            <w:tcW w:type="dxa" w:w="2880"/>
          </w:tcPr>
          <w:p>
            <w:r>
              <w:t>A browser view that replays any campaign, episode by episode</w:t>
            </w:r>
          </w:p>
        </w:tc>
        <w:tc>
          <w:tcPr>
            <w:tcW w:type="dxa" w:w="2880"/>
          </w:tcPr>
          <w:p>
            <w:r>
              <w:t>That the numbers are inspectable rather than asserted</w:t>
            </w:r>
          </w:p>
        </w:tc>
      </w:tr>
    </w:tbl>
    <w:p/>
    <w:p>
      <w:r>
        <w:rPr>
          <w:b/>
        </w:rPr>
        <w:t>The ledger is the arbiter, and that is the most important decision in the system. An attack succeeded if and only if the balance on an attacker-controlled account went up. No model or scorer gets a vote. A harness whose detector decides whether the detector worked is grading its own homework.</w:t>
      </w:r>
    </w:p>
    <w:p>
      <w:pPr>
        <w:pStyle w:val="Heading2"/>
      </w:pPr>
      <w:r>
        <w:t>The decisions, and what we rejected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Decision</w:t>
            </w:r>
          </w:p>
        </w:tc>
        <w:tc>
          <w:tcPr>
            <w:tcW w:type="dxa" w:w="2880"/>
          </w:tcPr>
          <w:p>
            <w:r>
              <w:rPr>
                <w:b/>
              </w:rPr>
              <w:t>What we chose</w:t>
            </w:r>
          </w:p>
        </w:tc>
        <w:tc>
          <w:tcPr>
            <w:tcW w:type="dxa" w:w="2880"/>
          </w:tcPr>
          <w:p>
            <w:r>
              <w:rPr>
                <w:b/>
              </w:rPr>
              <w:t>What we rejected, and why</w:t>
            </w:r>
          </w:p>
        </w:tc>
      </w:tr>
      <w:tr>
        <w:tc>
          <w:tcPr>
            <w:tcW w:type="dxa" w:w="2880"/>
          </w:tcPr>
          <w:p>
            <w:r>
              <w:t>What counts as success</w:t>
            </w:r>
          </w:p>
        </w:tc>
        <w:tc>
          <w:tcPr>
            <w:tcW w:type="dxa" w:w="2880"/>
          </w:tcPr>
          <w:p>
            <w:r>
              <w:t>A balance delta on the attacker's ledger account</w:t>
            </w:r>
          </w:p>
        </w:tc>
        <w:tc>
          <w:tcPr>
            <w:tcW w:type="dxa" w:w="2880"/>
          </w:tcPr>
          <w:p>
            <w:r>
              <w:t>The control's own verdict — the harness would be grading itself</w:t>
            </w:r>
          </w:p>
        </w:tc>
      </w:tr>
      <w:tr>
        <w:tc>
          <w:tcPr>
            <w:tcW w:type="dxa" w:w="2880"/>
          </w:tcPr>
          <w:p>
            <w:r>
              <w:t>Money</w:t>
            </w:r>
          </w:p>
        </w:tc>
        <w:tc>
          <w:tcPr>
            <w:tcW w:type="dxa" w:w="2880"/>
          </w:tcPr>
          <w:p>
            <w:r>
              <w:t>Decimal paise; floats rejected, not coerced</w:t>
            </w:r>
          </w:p>
        </w:tc>
        <w:tc>
          <w:tcPr>
            <w:tcW w:type="dxa" w:w="2880"/>
          </w:tcPr>
          <w:p>
            <w:r>
              <w:t>Silent coercion — a rounding error in a fraud harness is a number nobody can trust</w:t>
            </w:r>
          </w:p>
        </w:tc>
      </w:tr>
      <w:tr>
        <w:tc>
          <w:tcPr>
            <w:tcW w:type="dxa" w:w="2880"/>
          </w:tcPr>
          <w:p>
            <w:r>
              <w:t>How attacks sign</w:t>
            </w:r>
          </w:p>
        </w:tc>
        <w:tc>
          <w:tcPr>
            <w:tcW w:type="dxa" w:w="2880"/>
          </w:tcPr>
          <w:p>
            <w:r>
              <w:t>Only with keys the attacker legitimately holds</w:t>
            </w:r>
          </w:p>
        </w:tc>
        <w:tc>
          <w:tcPr>
            <w:tcW w:type="dxa" w:w="2880"/>
          </w:tcPr>
          <w:p>
            <w:r>
              <w:t>Forging the user's key — that tests our signature check, which already works</w:t>
            </w:r>
          </w:p>
        </w:tc>
      </w:tr>
      <w:tr>
        <w:tc>
          <w:tcPr>
            <w:tcW w:type="dxa" w:w="2880"/>
          </w:tcPr>
          <w:p>
            <w:r>
              <w:t>Order of the tiers</w:t>
            </w:r>
          </w:p>
        </w:tc>
        <w:tc>
          <w:tcPr>
            <w:tcW w:type="dxa" w:w="2880"/>
          </w:tcPr>
          <w:p>
            <w:r>
              <w:t>Deterministic arithmetic first, model second</w:t>
            </w:r>
          </w:p>
        </w:tc>
        <w:tc>
          <w:tcPr>
            <w:tcW w:type="dxa" w:w="2880"/>
          </w:tcPr>
          <w:p>
            <w:r>
              <w:t>Model first — a model that fails is unexplainable; a rule that fails names itself</w:t>
            </w:r>
          </w:p>
        </w:tc>
      </w:tr>
      <w:tr>
        <w:tc>
          <w:tcPr>
            <w:tcW w:type="dxa" w:w="2880"/>
          </w:tcPr>
          <w:p>
            <w:r>
              <w:t>Tier 3's authority</w:t>
            </w:r>
          </w:p>
        </w:tc>
        <w:tc>
          <w:tcPr>
            <w:tcW w:type="dxa" w:w="2880"/>
          </w:tcPr>
          <w:p>
            <w:r>
              <w:t>It escalates for review; it never blocks</w:t>
            </w:r>
          </w:p>
        </w:tc>
        <w:tc>
          <w:tcPr>
            <w:tcW w:type="dxa" w:w="2880"/>
          </w:tcPr>
          <w:p>
            <w:r>
              <w:t>Letting semantics refuse a payment — its first version escalated everything, at a 0% honest pass rate</w:t>
            </w:r>
          </w:p>
        </w:tc>
      </w:tr>
      <w:tr>
        <w:tc>
          <w:tcPr>
            <w:tcW w:type="dxa" w:w="2880"/>
          </w:tcPr>
          <w:p>
            <w:r>
              <w:t>The headline metric</w:t>
            </w:r>
          </w:p>
        </w:tc>
        <w:tc>
          <w:tcPr>
            <w:tcW w:type="dxa" w:w="2880"/>
          </w:tcPr>
          <w:p>
            <w:r>
              <w:t>The adaptive delta — how much better an attacker gets</w:t>
            </w:r>
          </w:p>
        </w:tc>
        <w:tc>
          <w:tcPr>
            <w:tcW w:type="dxa" w:w="2880"/>
          </w:tcPr>
          <w:p>
            <w:r>
              <w:t>Static attack success — every comparable tool reports round 0 and stops</w:t>
            </w:r>
          </w:p>
        </w:tc>
      </w:tr>
      <w:tr>
        <w:tc>
          <w:tcPr>
            <w:tcW w:type="dxa" w:w="2880"/>
          </w:tcPr>
          <w:p>
            <w:r>
              <w:t>Map versus build</w:t>
            </w:r>
          </w:p>
        </w:tc>
        <w:tc>
          <w:tcPr>
            <w:tcW w:type="dxa" w:w="2880"/>
          </w:tcPr>
          <w:p>
            <w:r>
              <w:t>Counted and reported separately, always</w:t>
            </w:r>
          </w:p>
        </w:tc>
        <w:tc>
          <w:tcPr>
            <w:tcW w:type="dxa" w:w="2880"/>
          </w:tcPr>
          <w:p>
            <w:r>
              <w:t>One combined figure — that is how an attack catalogue becomes a marketing document</w:t>
            </w:r>
          </w:p>
        </w:tc>
      </w:tr>
      <w:tr>
        <w:tc>
          <w:tcPr>
            <w:tcW w:type="dxa" w:w="2880"/>
          </w:tcPr>
          <w:p>
            <w:r>
              <w:t>Deployment</w:t>
            </w:r>
          </w:p>
        </w:tc>
        <w:tc>
          <w:tcPr>
            <w:tcW w:type="dxa" w:w="2880"/>
          </w:tcPr>
          <w:p>
            <w:r>
              <w:t>Static files: no server, no credential, no database</w:t>
            </w:r>
          </w:p>
        </w:tc>
        <w:tc>
          <w:tcPr>
            <w:tcW w:type="dxa" w:w="2880"/>
          </w:tcPr>
          <w:p>
            <w:r>
              <w:t>A container — free tiers sleep, and a judge's first visit pays the cold start</w:t>
            </w:r>
          </w:p>
        </w:tc>
      </w:tr>
    </w:tbl>
    <w:p/>
    <w:p>
      <w:pPr>
        <w:pStyle w:val="Heading2"/>
      </w:pPr>
      <w:r>
        <w:t>What would change our mind</w:t>
      </w:r>
    </w:p>
    <w:p>
      <w:pPr>
        <w:pStyle w:val="ListBullet"/>
      </w:pPr>
      <w:r>
        <w:t>If an attacker allowed to read refusals and retry got no further than the documented corpus, Praman would be a regression suite and the interesting claim would be gone. The adaptive command exits non-zero if that happens.</w:t>
      </w:r>
    </w:p>
    <w:p>
      <w:pPr>
        <w:pStyle w:val="ListBullet"/>
      </w:pPr>
      <w:r>
        <w:t>If attack success against an undefended range were below 100%, the baseline would not be a baseline and every prevention figure measured against it would be inflated. The campaign runner exits non-zero if that happens.</w:t>
      </w:r>
    </w:p>
    <w:p>
      <w:pPr>
        <w:pStyle w:val="ListBullet"/>
      </w:pPr>
      <w:r>
        <w:t>If honest traffic ever failed to settle, the control would be unshippable whatever its recall — so the benign pass rate is printed beside every headline number rather than in an appendix.</w:t>
      </w:r>
    </w:p>
    <w:p>
      <w:r>
        <w:br w:type="page"/>
      </w:r>
    </w:p>
    <w:p>
      <w:pPr>
        <w:pStyle w:val="Heading1"/>
      </w:pPr>
      <w:r>
        <w:t>Part III  ·  What it does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Command</w:t>
            </w:r>
          </w:p>
        </w:tc>
        <w:tc>
          <w:tcPr>
            <w:tcW w:type="dxa" w:w="2880"/>
          </w:tcPr>
          <w:p>
            <w:r>
              <w:rPr>
                <w:b/>
              </w:rPr>
              <w:t>What comes back</w:t>
            </w:r>
          </w:p>
        </w:tc>
      </w:tr>
      <w:tr>
        <w:tc>
          <w:tcPr>
            <w:tcW w:type="dxa" w:w="2880"/>
          </w:tcPr>
          <w:p>
            <w:r>
              <w:t>Map the attack surface</w:t>
            </w:r>
          </w:p>
        </w:tc>
        <w:tc>
          <w:tcPr>
            <w:tcW w:type="dxa" w:w="2880"/>
          </w:tcPr>
          <w:p>
            <w:r>
              <w:t>python -m praman corpus</w:t>
            </w:r>
          </w:p>
        </w:tc>
        <w:tc>
          <w:tcPr>
            <w:tcW w:type="dxa" w:w="2880"/>
          </w:tcPr>
          <w:p>
            <w:r>
              <w:t>34 vectors across 7 surfaces, the 6 built marked as built</w:t>
            </w:r>
          </w:p>
        </w:tc>
      </w:tr>
      <w:tr>
        <w:tc>
          <w:tcPr>
            <w:tcW w:type="dxa" w:w="2880"/>
          </w:tcPr>
          <w:p>
            <w:r>
              <w:t>Measure a control</w:t>
            </w:r>
          </w:p>
        </w:tc>
        <w:tc>
          <w:tcPr>
            <w:tcW w:type="dxa" w:w="2880"/>
          </w:tcPr>
          <w:p>
            <w:r>
              <w:t>python -m praman matrix</w:t>
            </w:r>
          </w:p>
        </w:tc>
        <w:tc>
          <w:tcPr>
            <w:tcW w:type="dxa" w:w="2880"/>
          </w:tcPr>
          <w:p>
            <w:r>
              <w:t>Every rail crossed with every control, baseline beside defended</w:t>
            </w:r>
          </w:p>
        </w:tc>
      </w:tr>
      <w:tr>
        <w:tc>
          <w:tcPr>
            <w:tcW w:type="dxa" w:w="2880"/>
          </w:tcPr>
          <w:p>
            <w:r>
              <w:t>Score it as a detector</w:t>
            </w:r>
          </w:p>
        </w:tc>
        <w:tc>
          <w:tcPr>
            <w:tcW w:type="dxa" w:w="2880"/>
          </w:tcPr>
          <w:p>
            <w:r>
              <w:t>python -m praman detect</w:t>
            </w:r>
          </w:p>
        </w:tc>
        <w:tc>
          <w:tcPr>
            <w:tcW w:type="dxa" w:w="2880"/>
          </w:tcPr>
          <w:p>
            <w:r>
              <w:t>Precision, recall, F1, false-positive rate and AUC, per campaign</w:t>
            </w:r>
          </w:p>
        </w:tc>
      </w:tr>
      <w:tr>
        <w:tc>
          <w:tcPr>
            <w:tcW w:type="dxa" w:w="2880"/>
          </w:tcPr>
          <w:p>
            <w:r>
              <w:t>Let the attacker adapt</w:t>
            </w:r>
          </w:p>
        </w:tc>
        <w:tc>
          <w:tcPr>
            <w:tcW w:type="dxa" w:w="2880"/>
          </w:tcPr>
          <w:p>
            <w:r>
              <w:t>python -m praman adapt</w:t>
            </w:r>
          </w:p>
        </w:tc>
        <w:tc>
          <w:tcPr>
            <w:tcW w:type="dxa" w:w="2880"/>
          </w:tcPr>
          <w:p>
            <w:r>
              <w:t>The static-versus-adaptive gap, and the strategy that broke each rule</w:t>
            </w:r>
          </w:p>
        </w:tc>
      </w:tr>
      <w:tr>
        <w:tc>
          <w:tcPr>
            <w:tcW w:type="dxa" w:w="2880"/>
          </w:tcPr>
          <w:p>
            <w:r>
              <w:t>Add your own test case</w:t>
            </w:r>
          </w:p>
        </w:tc>
        <w:tc>
          <w:tcPr>
            <w:tcW w:type="dxa" w:w="2880"/>
          </w:tcPr>
          <w:p>
            <w:r>
              <w:t>python -m praman run &lt;scenario.yaml&gt;</w:t>
            </w:r>
          </w:p>
        </w:tc>
        <w:tc>
          <w:tcPr>
            <w:tcW w:type="dxa" w:w="2880"/>
          </w:tcPr>
          <w:p>
            <w:r>
              <w:t>A new campaign in the arena — no code change, no redeploy</w:t>
            </w:r>
          </w:p>
        </w:tc>
      </w:tr>
    </w:tbl>
    <w:p/>
    <w:p>
      <w:r>
        <w:rPr>
          <w:sz w:val="20"/>
        </w:rPr>
        <w:t>The last row is what makes this a product rather than a demo. One YAML file — rail, control, attacks, an optional merchant overlay — and the campaign appears in the live arena beside the shipped ones, under its own heading so it is never mistaken for one of ours.</w:t>
      </w:r>
    </w:p>
    <w:p>
      <w:pPr>
        <w:pStyle w:val="Heading2"/>
      </w:pPr>
      <w:r>
        <w:t>The words this report uses</w:t>
      </w:r>
    </w:p>
    <w:p>
      <w:r>
        <w:rPr>
          <w:color w:val="5B6675"/>
          <w:sz w:val="19"/>
        </w:rPr>
        <w:t>Defined here so the evidence that follows is readable without a payments background.</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w:t>
            </w:r>
          </w:p>
        </w:tc>
      </w:tr>
      <w:tr>
        <w:tc>
          <w:tcPr>
            <w:tcW w:type="dxa" w:w="4320"/>
          </w:tcPr>
          <w:p>
            <w:r>
              <w:t>Agentic payment</w:t>
            </w:r>
          </w:p>
        </w:tc>
        <w:tc>
          <w:tcPr>
            <w:tcW w:type="dxa" w:w="4320"/>
          </w:tcPr>
          <w:p>
            <w:r>
              <w:t>A payment an AI agent makes on your behalf, from an authority you granted it in advance — rather than one you approve at the moment it happens.</w:t>
            </w:r>
          </w:p>
        </w:tc>
      </w:tr>
      <w:tr>
        <w:tc>
          <w:tcPr>
            <w:tcW w:type="dxa" w:w="4320"/>
          </w:tcPr>
          <w:p>
            <w:r>
              <w:t>Mandate</w:t>
            </w:r>
          </w:p>
        </w:tc>
        <w:tc>
          <w:tcPr>
            <w:tcW w:type="dxa" w:w="4320"/>
          </w:tcPr>
          <w:p>
            <w:r>
              <w:t>A signed document that records one step of that authority. Praman uses the three the industry has settled on: an Intent (what you authorised), a Cart (what the merchant offered), a Payment (what actually moves).</w:t>
            </w:r>
          </w:p>
        </w:tc>
      </w:tr>
      <w:tr>
        <w:tc>
          <w:tcPr>
            <w:tcW w:type="dxa" w:w="4320"/>
          </w:tcPr>
          <w:p>
            <w:r>
              <w:t>Mandate chain</w:t>
            </w:r>
          </w:p>
        </w:tc>
        <w:tc>
          <w:tcPr>
            <w:tcW w:type="dxa" w:w="4320"/>
          </w:tcPr>
          <w:p>
            <w:r>
              <w:t>The three joined together. Each signature proves who wrote its own document — and nothing about whether the three agree with each other. That gap is the subject of this report.</w:t>
            </w:r>
          </w:p>
        </w:tc>
      </w:tr>
      <w:tr>
        <w:tc>
          <w:tcPr>
            <w:tcW w:type="dxa" w:w="4320"/>
          </w:tcPr>
          <w:p>
            <w:r>
              <w:t>Breach and attack simulation</w:t>
            </w:r>
          </w:p>
        </w:tc>
        <w:tc>
          <w:tcPr>
            <w:tcW w:type="dxa" w:w="4320"/>
          </w:tcPr>
          <w:p>
            <w:r>
              <w:t>Attacking your own defences on purpose, on a schedule, to find out what they actually stop. Routine for corporate networks; nobody does it for payment mandates.</w:t>
            </w:r>
          </w:p>
        </w:tc>
      </w:tr>
      <w:tr>
        <w:tc>
          <w:tcPr>
            <w:tcW w:type="dxa" w:w="4320"/>
          </w:tcPr>
          <w:p>
            <w:r>
              <w:t>Attack success rate (ASR)</w:t>
            </w:r>
          </w:p>
        </w:tc>
        <w:tc>
          <w:tcPr>
            <w:tcW w:type="dxa" w:w="4320"/>
          </w:tcPr>
          <w:p>
            <w:r>
              <w:t>The share of attacks that moved money. Praman decides this from the ledger — did an attacker's balance go up — not from whether the control raised an alarm.</w:t>
            </w:r>
          </w:p>
        </w:tc>
      </w:tr>
      <w:tr>
        <w:tc>
          <w:tcPr>
            <w:tcW w:type="dxa" w:w="4320"/>
          </w:tcPr>
          <w:p>
            <w:r>
              <w:t>Precision, recall, F1</w:t>
            </w:r>
          </w:p>
        </w:tc>
        <w:tc>
          <w:tcPr>
            <w:tcW w:type="dxa" w:w="4320"/>
          </w:tcPr>
          <w:p>
            <w:r>
              <w:t>Standard detection scores. Precision: of everything flagged, how much was really an attack. Recall: of all attacks, how many got flagged. F1 combines them. All three can be perfect while money is still stolen — see Figure 4.</w:t>
            </w:r>
          </w:p>
        </w:tc>
      </w:tr>
      <w:tr>
        <w:tc>
          <w:tcPr>
            <w:tcW w:type="dxa" w:w="4320"/>
          </w:tcPr>
          <w:p>
            <w:r>
              <w:t>Reference monitor</w:t>
            </w:r>
          </w:p>
        </w:tc>
        <w:tc>
          <w:tcPr>
            <w:tcW w:type="dxa" w:w="4320"/>
          </w:tcPr>
          <w:p>
            <w:r>
              <w:t>A checker that sits outside the thing it is checking and cannot be bypassed, because nothing settles without going through it. A 1972 idea, applied here to payments.</w:t>
            </w:r>
          </w:p>
        </w:tc>
      </w:tr>
      <w:tr>
        <w:tc>
          <w:tcPr>
            <w:tcW w:type="dxa" w:w="4320"/>
          </w:tcPr>
          <w:p>
            <w:r>
              <w:t>Adaptive attacker</w:t>
            </w:r>
          </w:p>
        </w:tc>
        <w:tc>
          <w:tcPr>
            <w:tcW w:type="dxa" w:w="4320"/>
          </w:tcPr>
          <w:p>
            <w:r>
              <w:t>An attacker who reads the rejection, works out which rule refused it, and tries again. The realistic case, and the one nobody publishes numbers for.</w:t>
            </w:r>
          </w:p>
        </w:tc>
      </w:tr>
    </w:tbl>
    <w:p/>
    <w:p>
      <w:r>
        <w:br w:type="page"/>
      </w:r>
    </w:p>
    <w:p>
      <w:pPr>
        <w:pStyle w:val="Heading1"/>
      </w:pPr>
      <w:r>
        <w:t>Part IV  ·  The evidence</w:t>
      </w:r>
    </w:p>
    <w:p>
      <w:r>
        <w:rPr>
          <w:color w:val="5B6675"/>
          <w:sz w:val="19"/>
        </w:rPr>
        <w:t>Four books, answering the four questions the challenge asks: what we identify, how we generate it, what defends against it, and what it takes to run in production.</w:t>
      </w:r>
    </w:p>
    <w:p>
      <w:pPr>
        <w:pStyle w:val="Heading2"/>
      </w:pPr>
      <w:r>
        <w:t>Book One  ·  Identify — the attack surface, mapped</w:t>
      </w:r>
    </w:p>
    <w:p>
      <w:pPr>
        <w:jc w:val="center"/>
      </w:pPr>
      <w:r>
        <w:drawing>
          <wp:inline xmlns:a="http://schemas.openxmlformats.org/drawingml/2006/main" xmlns:pic="http://schemas.openxmlformats.org/drawingml/2006/picture">
            <wp:extent cx="5852160" cy="2832920"/>
            <wp:docPr id="3" name="Picture 3"/>
            <wp:cNvGraphicFramePr>
              <a:graphicFrameLocks noChangeAspect="1"/>
            </wp:cNvGraphicFramePr>
            <a:graphic>
              <a:graphicData uri="http://schemas.openxmlformats.org/drawingml/2006/picture">
                <pic:pic>
                  <pic:nvPicPr>
                    <pic:cNvPr id="0" name="coverage.png"/>
                    <pic:cNvPicPr/>
                  </pic:nvPicPr>
                  <pic:blipFill>
                    <a:blip r:embed="rId11"/>
                    <a:stretch>
                      <a:fillRect/>
                    </a:stretch>
                  </pic:blipFill>
                  <pic:spPr>
                    <a:xfrm>
                      <a:off x="0" y="0"/>
                      <a:ext cx="5852160" cy="2832920"/>
                    </a:xfrm>
                    <a:prstGeom prst="rect"/>
                  </pic:spPr>
                </pic:pic>
              </a:graphicData>
            </a:graphic>
          </wp:inline>
        </w:drawing>
      </w:r>
    </w:p>
    <w:p>
      <w:pPr>
        <w:jc w:val="center"/>
      </w:pPr>
      <w:r>
        <w:rPr>
          <w:b/>
          <w:color w:val="5B6675"/>
          <w:sz w:val="17"/>
        </w:rPr>
        <w:t>Figure 6 — The attack surface: mapped against built</w:t>
      </w:r>
    </w:p>
    <w:p>
      <w:r>
        <w:t>34 vectors across 7 surfaces; 6 built, run and measured. The split is deliberate and is never collapsed into one number: identification is research, implementation is evidence. A test fails the build if the corpus and the code disagree about which is which.</w:t>
      </w:r>
    </w:p>
    <w:p>
      <w:r>
        <w:rPr>
          <w:sz w:val="20"/>
        </w:rPr>
        <w:t>Root causes RC-1 to RC-5 are the vulnerability classes from arXiv 2607.21824. RC-6 (agent judgement subverted) and L-1/L-2 (the human deceived, the human coerced) are ours, and are marked as ours rather than folded in as though they were the paper's.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Surface</w:t>
            </w:r>
          </w:p>
        </w:tc>
        <w:tc>
          <w:tcPr>
            <w:tcW w:type="dxa" w:w="2160"/>
          </w:tcPr>
          <w:p>
            <w:r>
              <w:rPr>
                <w:b/>
              </w:rPr>
              <w:t>What it attacks</w:t>
            </w:r>
          </w:p>
        </w:tc>
        <w:tc>
          <w:tcPr>
            <w:tcW w:type="dxa" w:w="2160"/>
          </w:tcPr>
          <w:p>
            <w:r>
              <w:rPr>
                <w:b/>
              </w:rPr>
              <w:t>Mapped</w:t>
            </w:r>
          </w:p>
        </w:tc>
        <w:tc>
          <w:tcPr>
            <w:tcW w:type="dxa" w:w="2160"/>
          </w:tcPr>
          <w:p>
            <w:r>
              <w:rPr>
                <w:b/>
              </w:rPr>
              <w:t>Built</w:t>
            </w:r>
          </w:p>
        </w:tc>
      </w:tr>
      <w:tr>
        <w:tc>
          <w:tcPr>
            <w:tcW w:type="dxa" w:w="2160"/>
          </w:tcPr>
          <w:p>
            <w:r>
              <w:t>mandate-chain</w:t>
            </w:r>
          </w:p>
        </w:tc>
        <w:tc>
          <w:tcPr>
            <w:tcW w:type="dxa" w:w="2160"/>
          </w:tcPr>
          <w:p>
            <w:r>
              <w:t>The signed Intent -&gt; Cart -&gt; Payment protocol itself</w:t>
            </w:r>
          </w:p>
        </w:tc>
        <w:tc>
          <w:tcPr>
            <w:tcW w:type="dxa" w:w="2160"/>
          </w:tcPr>
          <w:p>
            <w:r>
              <w:t>8</w:t>
            </w:r>
          </w:p>
        </w:tc>
        <w:tc>
          <w:tcPr>
            <w:tcW w:type="dxa" w:w="2160"/>
          </w:tcPr>
          <w:p>
            <w:r>
              <w:t>4</w:t>
            </w:r>
          </w:p>
        </w:tc>
      </w:tr>
      <w:tr>
        <w:tc>
          <w:tcPr>
            <w:tcW w:type="dxa" w:w="2160"/>
          </w:tcPr>
          <w:p>
            <w:r>
              <w:t>upi-rail</w:t>
            </w:r>
          </w:p>
        </w:tc>
        <w:tc>
          <w:tcPr>
            <w:tcW w:type="dxa" w:w="2160"/>
          </w:tcPr>
          <w:p>
            <w:r>
              <w:t>India's rails: UPI, Autopay, AePS, BBPS, e-RUPI</w:t>
            </w:r>
          </w:p>
        </w:tc>
        <w:tc>
          <w:tcPr>
            <w:tcW w:type="dxa" w:w="2160"/>
          </w:tcPr>
          <w:p>
            <w:r>
              <w:t>7</w:t>
            </w:r>
          </w:p>
        </w:tc>
        <w:tc>
          <w:tcPr>
            <w:tcW w:type="dxa" w:w="2160"/>
          </w:tcPr>
          <w:p>
            <w:r>
              <w:t>0</w:t>
            </w:r>
          </w:p>
        </w:tc>
      </w:tr>
      <w:tr>
        <w:tc>
          <w:tcPr>
            <w:tcW w:type="dxa" w:w="2160"/>
          </w:tcPr>
          <w:p>
            <w:r>
              <w:t>card-rail</w:t>
            </w:r>
          </w:p>
        </w:tc>
        <w:tc>
          <w:tcPr>
            <w:tcW w:type="dxa" w:w="2160"/>
          </w:tcPr>
          <w:p>
            <w:r>
              <w:t>Tokenisation, 3DS, merchant-initiated transactions</w:t>
            </w:r>
          </w:p>
        </w:tc>
        <w:tc>
          <w:tcPr>
            <w:tcW w:type="dxa" w:w="2160"/>
          </w:tcPr>
          <w:p>
            <w:r>
              <w:t>3</w:t>
            </w:r>
          </w:p>
        </w:tc>
        <w:tc>
          <w:tcPr>
            <w:tcW w:type="dxa" w:w="2160"/>
          </w:tcPr>
          <w:p>
            <w:r>
              <w:t>0</w:t>
            </w:r>
          </w:p>
        </w:tc>
      </w:tr>
      <w:tr>
        <w:tc>
          <w:tcPr>
            <w:tcW w:type="dxa" w:w="2160"/>
          </w:tcPr>
          <w:p>
            <w:r>
              <w:t>agent-protocol</w:t>
            </w:r>
          </w:p>
        </w:tc>
        <w:tc>
          <w:tcPr>
            <w:tcW w:type="dxa" w:w="2160"/>
          </w:tcPr>
          <w:p>
            <w:r>
              <w:t>Agent-to-agent trust, delegation, tool supply chain</w:t>
            </w:r>
          </w:p>
        </w:tc>
        <w:tc>
          <w:tcPr>
            <w:tcW w:type="dxa" w:w="2160"/>
          </w:tcPr>
          <w:p>
            <w:r>
              <w:t>4</w:t>
            </w:r>
          </w:p>
        </w:tc>
        <w:tc>
          <w:tcPr>
            <w:tcW w:type="dxa" w:w="2160"/>
          </w:tcPr>
          <w:p>
            <w:r>
              <w:t>0</w:t>
            </w:r>
          </w:p>
        </w:tc>
      </w:tr>
      <w:tr>
        <w:tc>
          <w:tcPr>
            <w:tcW w:type="dxa" w:w="2160"/>
          </w:tcPr>
          <w:p>
            <w:r>
              <w:t>agent-judgement</w:t>
            </w:r>
          </w:p>
        </w:tc>
        <w:tc>
          <w:tcPr>
            <w:tcW w:type="dxa" w:w="2160"/>
          </w:tcPr>
          <w:p>
            <w:r>
              <w:t>Subverting what the model decides to do</w:t>
            </w:r>
          </w:p>
        </w:tc>
        <w:tc>
          <w:tcPr>
            <w:tcW w:type="dxa" w:w="2160"/>
          </w:tcPr>
          <w:p>
            <w:r>
              <w:t>6</w:t>
            </w:r>
          </w:p>
        </w:tc>
        <w:tc>
          <w:tcPr>
            <w:tcW w:type="dxa" w:w="2160"/>
          </w:tcPr>
          <w:p>
            <w:r>
              <w:t>2</w:t>
            </w:r>
          </w:p>
        </w:tc>
      </w:tr>
      <w:tr>
        <w:tc>
          <w:tcPr>
            <w:tcW w:type="dxa" w:w="2160"/>
          </w:tcPr>
          <w:p>
            <w:r>
              <w:t>social</w:t>
            </w:r>
          </w:p>
        </w:tc>
        <w:tc>
          <w:tcPr>
            <w:tcW w:type="dxa" w:w="2160"/>
          </w:tcPr>
          <w:p>
            <w:r>
              <w:t>GenAI social engineering against the human</w:t>
            </w:r>
          </w:p>
        </w:tc>
        <w:tc>
          <w:tcPr>
            <w:tcW w:type="dxa" w:w="2160"/>
          </w:tcPr>
          <w:p>
            <w:r>
              <w:t>4</w:t>
            </w:r>
          </w:p>
        </w:tc>
        <w:tc>
          <w:tcPr>
            <w:tcW w:type="dxa" w:w="2160"/>
          </w:tcPr>
          <w:p>
            <w:r>
              <w:t>0</w:t>
            </w:r>
          </w:p>
        </w:tc>
      </w:tr>
      <w:tr>
        <w:tc>
          <w:tcPr>
            <w:tcW w:type="dxa" w:w="2160"/>
          </w:tcPr>
          <w:p>
            <w:r>
              <w:t>laundering</w:t>
            </w:r>
          </w:p>
        </w:tc>
        <w:tc>
          <w:tcPr>
            <w:tcW w:type="dxa" w:w="2160"/>
          </w:tcPr>
          <w:p>
            <w:r>
              <w:t>Moving the proceeds once the payment succeeds</w:t>
            </w:r>
          </w:p>
        </w:tc>
        <w:tc>
          <w:tcPr>
            <w:tcW w:type="dxa" w:w="2160"/>
          </w:tcPr>
          <w:p>
            <w:r>
              <w:t>2</w:t>
            </w:r>
          </w:p>
        </w:tc>
        <w:tc>
          <w:tcPr>
            <w:tcW w:type="dxa" w:w="2160"/>
          </w:tcPr>
          <w:p>
            <w:r>
              <w:t>0</w:t>
            </w:r>
          </w:p>
        </w:tc>
      </w:tr>
    </w:tbl>
    <w:p/>
    <w:p>
      <w:pPr>
        <w:pStyle w:val="Heading3"/>
      </w:pPr>
      <w:r>
        <w:t>The full map</w:t>
      </w:r>
    </w:p>
    <w:p>
      <w:r>
        <w:rPr>
          <w:b/>
          <w:sz w:val="21"/>
        </w:rPr>
        <w:t>mandate-chain — The signed Intent -&gt; Cart -&gt; Payment protocol itself</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S-01</w:t>
            </w:r>
          </w:p>
        </w:tc>
        <w:tc>
          <w:tcPr>
            <w:tcW w:type="dxa" w:w="1728"/>
          </w:tcPr>
          <w:p>
            <w:r>
              <w:t>Cart substitution after intent</w:t>
            </w:r>
          </w:p>
        </w:tc>
        <w:tc>
          <w:tcPr>
            <w:tcW w:type="dxa" w:w="1728"/>
          </w:tcPr>
          <w:p>
            <w:r>
              <w:t>RC-2</w:t>
            </w:r>
          </w:p>
        </w:tc>
        <w:tc>
          <w:tcPr>
            <w:tcW w:type="dxa" w:w="1728"/>
          </w:tcPr>
          <w:p>
            <w:r>
              <w:t>inv-01</w:t>
            </w:r>
          </w:p>
        </w:tc>
        <w:tc>
          <w:tcPr>
            <w:tcW w:type="dxa" w:w="1728"/>
          </w:tcPr>
          <w:p>
            <w:r>
              <w:t>yes</w:t>
            </w:r>
          </w:p>
        </w:tc>
      </w:tr>
      <w:tr>
        <w:tc>
          <w:tcPr>
            <w:tcW w:type="dxa" w:w="1728"/>
          </w:tcPr>
          <w:p>
            <w:r>
              <w:t>S-02</w:t>
            </w:r>
          </w:p>
        </w:tc>
        <w:tc>
          <w:tcPr>
            <w:tcW w:type="dxa" w:w="1728"/>
          </w:tcPr>
          <w:p>
            <w:r>
              <w:t>Beneficiary rebinding</w:t>
            </w:r>
          </w:p>
        </w:tc>
        <w:tc>
          <w:tcPr>
            <w:tcW w:type="dxa" w:w="1728"/>
          </w:tcPr>
          <w:p>
            <w:r>
              <w:t>RC-2</w:t>
            </w:r>
          </w:p>
        </w:tc>
        <w:tc>
          <w:tcPr>
            <w:tcW w:type="dxa" w:w="1728"/>
          </w:tcPr>
          <w:p>
            <w:r>
              <w:t>inv-02</w:t>
            </w:r>
          </w:p>
        </w:tc>
        <w:tc>
          <w:tcPr>
            <w:tcW w:type="dxa" w:w="1728"/>
          </w:tcPr>
          <w:p>
            <w:r>
              <w:t>yes</w:t>
            </w:r>
          </w:p>
        </w:tc>
      </w:tr>
      <w:tr>
        <w:tc>
          <w:tcPr>
            <w:tcW w:type="dxa" w:w="1728"/>
          </w:tcPr>
          <w:p>
            <w:r>
              <w:t>S-03</w:t>
            </w:r>
          </w:p>
        </w:tc>
        <w:tc>
          <w:tcPr>
            <w:tcW w:type="dxa" w:w="1728"/>
          </w:tcPr>
          <w:p>
            <w:r>
              <w:t>Token-redemption race</w:t>
            </w:r>
          </w:p>
        </w:tc>
        <w:tc>
          <w:tcPr>
            <w:tcW w:type="dxa" w:w="1728"/>
          </w:tcPr>
          <w:p>
            <w:r>
              <w:t>RC-4</w:t>
            </w:r>
          </w:p>
        </w:tc>
        <w:tc>
          <w:tcPr>
            <w:tcW w:type="dxa" w:w="1728"/>
          </w:tcPr>
          <w:p>
            <w:r>
              <w:t>inv-04</w:t>
            </w:r>
          </w:p>
        </w:tc>
        <w:tc>
          <w:tcPr>
            <w:tcW w:type="dxa" w:w="1728"/>
          </w:tcPr>
          <w:p>
            <w:r>
              <w:t>yes</w:t>
            </w:r>
          </w:p>
        </w:tc>
      </w:tr>
      <w:tr>
        <w:tc>
          <w:tcPr>
            <w:tcW w:type="dxa" w:w="1728"/>
          </w:tcPr>
          <w:p>
            <w:r>
              <w:t>S-04</w:t>
            </w:r>
          </w:p>
        </w:tc>
        <w:tc>
          <w:tcPr>
            <w:tcW w:type="dxa" w:w="1728"/>
          </w:tcPr>
          <w:p>
            <w:r>
              <w:t>Mandate replay across domains</w:t>
            </w:r>
          </w:p>
        </w:tc>
        <w:tc>
          <w:tcPr>
            <w:tcW w:type="dxa" w:w="1728"/>
          </w:tcPr>
          <w:p>
            <w:r>
              <w:t>RC-5</w:t>
            </w:r>
          </w:p>
        </w:tc>
        <w:tc>
          <w:tcPr>
            <w:tcW w:type="dxa" w:w="1728"/>
          </w:tcPr>
          <w:p>
            <w:r>
              <w:t>inv-04</w:t>
            </w:r>
          </w:p>
        </w:tc>
        <w:tc>
          <w:tcPr>
            <w:tcW w:type="dxa" w:w="1728"/>
          </w:tcPr>
          <w:p>
            <w:r>
              <w:t>yes</w:t>
            </w:r>
          </w:p>
        </w:tc>
      </w:tr>
      <w:tr>
        <w:tc>
          <w:tcPr>
            <w:tcW w:type="dxa" w:w="1728"/>
          </w:tcPr>
          <w:p>
            <w:r>
              <w:t>S-05</w:t>
            </w:r>
          </w:p>
        </w:tc>
        <w:tc>
          <w:tcPr>
            <w:tcW w:type="dxa" w:w="1728"/>
          </w:tcPr>
          <w:p>
            <w:r>
              <w:t>Scope escalation past delegate limit</w:t>
            </w:r>
          </w:p>
        </w:tc>
        <w:tc>
          <w:tcPr>
            <w:tcW w:type="dxa" w:w="1728"/>
          </w:tcPr>
          <w:p>
            <w:r>
              <w:t>RC-5</w:t>
            </w:r>
          </w:p>
        </w:tc>
        <w:tc>
          <w:tcPr>
            <w:tcW w:type="dxa" w:w="1728"/>
          </w:tcPr>
          <w:p>
            <w:r>
              <w:t>none</w:t>
            </w:r>
          </w:p>
        </w:tc>
        <w:tc>
          <w:tcPr>
            <w:tcW w:type="dxa" w:w="1728"/>
          </w:tcPr>
          <w:p>
            <w:r>
              <w:t>—</w:t>
            </w:r>
          </w:p>
        </w:tc>
      </w:tr>
      <w:tr>
        <w:tc>
          <w:tcPr>
            <w:tcW w:type="dxa" w:w="1728"/>
          </w:tcPr>
          <w:p>
            <w:r>
              <w:t>S-06</w:t>
            </w:r>
          </w:p>
        </w:tc>
        <w:tc>
          <w:tcPr>
            <w:tcW w:type="dxa" w:w="1728"/>
          </w:tcPr>
          <w:p>
            <w:r>
              <w:t>Nonce reuse / TTL bypass</w:t>
            </w:r>
          </w:p>
        </w:tc>
        <w:tc>
          <w:tcPr>
            <w:tcW w:type="dxa" w:w="1728"/>
          </w:tcPr>
          <w:p>
            <w:r>
              <w:t>RC-3</w:t>
            </w:r>
          </w:p>
        </w:tc>
        <w:tc>
          <w:tcPr>
            <w:tcW w:type="dxa" w:w="1728"/>
          </w:tcPr>
          <w:p>
            <w:r>
              <w:t>inv-07</w:t>
            </w:r>
          </w:p>
        </w:tc>
        <w:tc>
          <w:tcPr>
            <w:tcW w:type="dxa" w:w="1728"/>
          </w:tcPr>
          <w:p>
            <w:r>
              <w:t>—</w:t>
            </w:r>
          </w:p>
        </w:tc>
      </w:tr>
      <w:tr>
        <w:tc>
          <w:tcPr>
            <w:tcW w:type="dxa" w:w="1728"/>
          </w:tcPr>
          <w:p>
            <w:r>
              <w:t>S-07</w:t>
            </w:r>
          </w:p>
        </w:tc>
        <w:tc>
          <w:tcPr>
            <w:tcW w:type="dxa" w:w="1728"/>
          </w:tcPr>
          <w:p>
            <w:r>
              <w:t>Credential leak via observable channel</w:t>
            </w:r>
          </w:p>
        </w:tc>
        <w:tc>
          <w:tcPr>
            <w:tcW w:type="dxa" w:w="1728"/>
          </w:tcPr>
          <w:p>
            <w:r>
              <w:t>RC-3</w:t>
            </w:r>
          </w:p>
        </w:tc>
        <w:tc>
          <w:tcPr>
            <w:tcW w:type="dxa" w:w="1728"/>
          </w:tcPr>
          <w:p>
            <w:r>
              <w:t>inv-04</w:t>
            </w:r>
          </w:p>
        </w:tc>
        <w:tc>
          <w:tcPr>
            <w:tcW w:type="dxa" w:w="1728"/>
          </w:tcPr>
          <w:p>
            <w:r>
              <w:t>—</w:t>
            </w:r>
          </w:p>
        </w:tc>
      </w:tr>
      <w:tr>
        <w:tc>
          <w:tcPr>
            <w:tcW w:type="dxa" w:w="1728"/>
          </w:tcPr>
          <w:p>
            <w:r>
              <w:t>X-20</w:t>
            </w:r>
          </w:p>
        </w:tc>
        <w:tc>
          <w:tcPr>
            <w:tcW w:type="dxa" w:w="1728"/>
          </w:tcPr>
          <w:p>
            <w:r>
              <w:t>Convenience-fee skim</w:t>
            </w:r>
          </w:p>
        </w:tc>
        <w:tc>
          <w:tcPr>
            <w:tcW w:type="dxa" w:w="1728"/>
          </w:tcPr>
          <w:p>
            <w:r>
              <w:t>RC-2</w:t>
            </w:r>
          </w:p>
        </w:tc>
        <w:tc>
          <w:tcPr>
            <w:tcW w:type="dxa" w:w="1728"/>
          </w:tcPr>
          <w:p>
            <w:r>
              <w:t>inv-03</w:t>
            </w:r>
          </w:p>
        </w:tc>
        <w:tc>
          <w:tcPr>
            <w:tcW w:type="dxa" w:w="1728"/>
          </w:tcPr>
          <w:p>
            <w:r>
              <w:t>—</w:t>
            </w:r>
          </w:p>
        </w:tc>
      </w:tr>
    </w:tbl>
    <w:p/>
    <w:p>
      <w:r>
        <w:rPr>
          <w:b/>
          <w:sz w:val="21"/>
        </w:rPr>
        <w:t>upi-rail — India's rails: UPI, Autopay, AePS, BBPS, e-RUPI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I-18</w:t>
            </w:r>
          </w:p>
        </w:tc>
        <w:tc>
          <w:tcPr>
            <w:tcW w:type="dxa" w:w="1728"/>
          </w:tcPr>
          <w:p>
            <w:r>
              <w:t>Collect-request inversion</w:t>
            </w:r>
          </w:p>
        </w:tc>
        <w:tc>
          <w:tcPr>
            <w:tcW w:type="dxa" w:w="1728"/>
          </w:tcPr>
          <w:p>
            <w:r>
              <w:t>RC-5</w:t>
            </w:r>
          </w:p>
        </w:tc>
        <w:tc>
          <w:tcPr>
            <w:tcW w:type="dxa" w:w="1728"/>
          </w:tcPr>
          <w:p>
            <w:r>
              <w:t>inv-02</w:t>
            </w:r>
          </w:p>
        </w:tc>
        <w:tc>
          <w:tcPr>
            <w:tcW w:type="dxa" w:w="1728"/>
          </w:tcPr>
          <w:p>
            <w:r>
              <w:t>—</w:t>
            </w:r>
          </w:p>
        </w:tc>
      </w:tr>
      <w:tr>
        <w:tc>
          <w:tcPr>
            <w:tcW w:type="dxa" w:w="1728"/>
          </w:tcPr>
          <w:p>
            <w:r>
              <w:t>I-19</w:t>
            </w:r>
          </w:p>
        </w:tc>
        <w:tc>
          <w:tcPr>
            <w:tcW w:type="dxa" w:w="1728"/>
          </w:tcPr>
          <w:p>
            <w:r>
              <w:t>VPA homograph</w:t>
            </w:r>
          </w:p>
        </w:tc>
        <w:tc>
          <w:tcPr>
            <w:tcW w:type="dxa" w:w="1728"/>
          </w:tcPr>
          <w:p>
            <w:r>
              <w:t>RC-2</w:t>
            </w:r>
          </w:p>
        </w:tc>
        <w:tc>
          <w:tcPr>
            <w:tcW w:type="dxa" w:w="1728"/>
          </w:tcPr>
          <w:p>
            <w:r>
              <w:t>inv-02</w:t>
            </w:r>
          </w:p>
        </w:tc>
        <w:tc>
          <w:tcPr>
            <w:tcW w:type="dxa" w:w="1728"/>
          </w:tcPr>
          <w:p>
            <w:r>
              <w:t>—</w:t>
            </w:r>
          </w:p>
        </w:tc>
      </w:tr>
      <w:tr>
        <w:tc>
          <w:tcPr>
            <w:tcW w:type="dxa" w:w="1728"/>
          </w:tcPr>
          <w:p>
            <w:r>
              <w:t>I-20</w:t>
            </w:r>
          </w:p>
        </w:tc>
        <w:tc>
          <w:tcPr>
            <w:tcW w:type="dxa" w:w="1728"/>
          </w:tcPr>
          <w:p>
            <w:r>
              <w:t>Mapper poisoning</w:t>
            </w:r>
          </w:p>
        </w:tc>
        <w:tc>
          <w:tcPr>
            <w:tcW w:type="dxa" w:w="1728"/>
          </w:tcPr>
          <w:p>
            <w:r>
              <w:t>RC-1</w:t>
            </w:r>
          </w:p>
        </w:tc>
        <w:tc>
          <w:tcPr>
            <w:tcW w:type="dxa" w:w="1728"/>
          </w:tcPr>
          <w:p>
            <w:r>
              <w:t>none</w:t>
            </w:r>
          </w:p>
        </w:tc>
        <w:tc>
          <w:tcPr>
            <w:tcW w:type="dxa" w:w="1728"/>
          </w:tcPr>
          <w:p>
            <w:r>
              <w:t>—</w:t>
            </w:r>
          </w:p>
        </w:tc>
      </w:tr>
      <w:tr>
        <w:tc>
          <w:tcPr>
            <w:tcW w:type="dxa" w:w="1728"/>
          </w:tcPr>
          <w:p>
            <w:r>
              <w:t>I-21</w:t>
            </w:r>
          </w:p>
        </w:tc>
        <w:tc>
          <w:tcPr>
            <w:tcW w:type="dxa" w:w="1728"/>
          </w:tcPr>
          <w:p>
            <w:r>
              <w:t>Pre-debit notification suppression</w:t>
            </w:r>
          </w:p>
        </w:tc>
        <w:tc>
          <w:tcPr>
            <w:tcW w:type="dxa" w:w="1728"/>
          </w:tcPr>
          <w:p>
            <w:r>
              <w:t>RC-3</w:t>
            </w:r>
          </w:p>
        </w:tc>
        <w:tc>
          <w:tcPr>
            <w:tcW w:type="dxa" w:w="1728"/>
          </w:tcPr>
          <w:p>
            <w:r>
              <w:t>none</w:t>
            </w:r>
          </w:p>
        </w:tc>
        <w:tc>
          <w:tcPr>
            <w:tcW w:type="dxa" w:w="1728"/>
          </w:tcPr>
          <w:p>
            <w:r>
              <w:t>—</w:t>
            </w:r>
          </w:p>
        </w:tc>
      </w:tr>
      <w:tr>
        <w:tc>
          <w:tcPr>
            <w:tcW w:type="dxa" w:w="1728"/>
          </w:tcPr>
          <w:p>
            <w:r>
              <w:t>I-22</w:t>
            </w:r>
          </w:p>
        </w:tc>
        <w:tc>
          <w:tcPr>
            <w:tcW w:type="dxa" w:w="1728"/>
          </w:tcPr>
          <w:p>
            <w:r>
              <w:t>Low-value offline bypass</w:t>
            </w:r>
          </w:p>
        </w:tc>
        <w:tc>
          <w:tcPr>
            <w:tcW w:type="dxa" w:w="1728"/>
          </w:tcPr>
          <w:p>
            <w:r>
              <w:t>RC-4</w:t>
            </w:r>
          </w:p>
        </w:tc>
        <w:tc>
          <w:tcPr>
            <w:tcW w:type="dxa" w:w="1728"/>
          </w:tcPr>
          <w:p>
            <w:r>
              <w:t>none</w:t>
            </w:r>
          </w:p>
        </w:tc>
        <w:tc>
          <w:tcPr>
            <w:tcW w:type="dxa" w:w="1728"/>
          </w:tcPr>
          <w:p>
            <w:r>
              <w:t>—</w:t>
            </w:r>
          </w:p>
        </w:tc>
      </w:tr>
      <w:tr>
        <w:tc>
          <w:tcPr>
            <w:tcW w:type="dxa" w:w="1728"/>
          </w:tcPr>
          <w:p>
            <w:r>
              <w:t>I-23</w:t>
            </w:r>
          </w:p>
        </w:tc>
        <w:tc>
          <w:tcPr>
            <w:tcW w:type="dxa" w:w="1728"/>
          </w:tcPr>
          <w:p>
            <w:r>
              <w:t>AePS biometric replay</w:t>
            </w:r>
          </w:p>
        </w:tc>
        <w:tc>
          <w:tcPr>
            <w:tcW w:type="dxa" w:w="1728"/>
          </w:tcPr>
          <w:p>
            <w:r>
              <w:t>RC-3</w:t>
            </w:r>
          </w:p>
        </w:tc>
        <w:tc>
          <w:tcPr>
            <w:tcW w:type="dxa" w:w="1728"/>
          </w:tcPr>
          <w:p>
            <w:r>
              <w:t>none</w:t>
            </w:r>
          </w:p>
        </w:tc>
        <w:tc>
          <w:tcPr>
            <w:tcW w:type="dxa" w:w="1728"/>
          </w:tcPr>
          <w:p>
            <w:r>
              <w:t>—</w:t>
            </w:r>
          </w:p>
        </w:tc>
      </w:tr>
      <w:tr>
        <w:tc>
          <w:tcPr>
            <w:tcW w:type="dxa" w:w="1728"/>
          </w:tcPr>
          <w:p>
            <w:r>
              <w:t>I-24</w:t>
            </w:r>
          </w:p>
        </w:tc>
        <w:tc>
          <w:tcPr>
            <w:tcW w:type="dxa" w:w="1728"/>
          </w:tcPr>
          <w:p>
            <w:r>
              <w:t>BBPS biller impersonation</w:t>
            </w:r>
          </w:p>
        </w:tc>
        <w:tc>
          <w:tcPr>
            <w:tcW w:type="dxa" w:w="1728"/>
          </w:tcPr>
          <w:p>
            <w:r>
              <w:t>RC-1</w:t>
            </w:r>
          </w:p>
        </w:tc>
        <w:tc>
          <w:tcPr>
            <w:tcW w:type="dxa" w:w="1728"/>
          </w:tcPr>
          <w:p>
            <w:r>
              <w:t>tier-2</w:t>
            </w:r>
          </w:p>
        </w:tc>
        <w:tc>
          <w:tcPr>
            <w:tcW w:type="dxa" w:w="1728"/>
          </w:tcPr>
          <w:p>
            <w:r>
              <w:t>—</w:t>
            </w:r>
          </w:p>
        </w:tc>
      </w:tr>
    </w:tbl>
    <w:p/>
    <w:p>
      <w:r>
        <w:rPr>
          <w:b/>
          <w:sz w:val="21"/>
        </w:rPr>
        <w:t>card-rail — Tokenisation, 3DS, merchant-initiated transactions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C-25</w:t>
            </w:r>
          </w:p>
        </w:tc>
        <w:tc>
          <w:tcPr>
            <w:tcW w:type="dxa" w:w="1728"/>
          </w:tcPr>
          <w:p>
            <w:r>
              <w:t>Token provisioning fraud</w:t>
            </w:r>
          </w:p>
        </w:tc>
        <w:tc>
          <w:tcPr>
            <w:tcW w:type="dxa" w:w="1728"/>
          </w:tcPr>
          <w:p>
            <w:r>
              <w:t>RC-3</w:t>
            </w:r>
          </w:p>
        </w:tc>
        <w:tc>
          <w:tcPr>
            <w:tcW w:type="dxa" w:w="1728"/>
          </w:tcPr>
          <w:p>
            <w:r>
              <w:t>none</w:t>
            </w:r>
          </w:p>
        </w:tc>
        <w:tc>
          <w:tcPr>
            <w:tcW w:type="dxa" w:w="1728"/>
          </w:tcPr>
          <w:p>
            <w:r>
              <w:t>—</w:t>
            </w:r>
          </w:p>
        </w:tc>
      </w:tr>
      <w:tr>
        <w:tc>
          <w:tcPr>
            <w:tcW w:type="dxa" w:w="1728"/>
          </w:tcPr>
          <w:p>
            <w:r>
              <w:t>C-26</w:t>
            </w:r>
          </w:p>
        </w:tc>
        <w:tc>
          <w:tcPr>
            <w:tcW w:type="dxa" w:w="1728"/>
          </w:tcPr>
          <w:p>
            <w:r>
              <w:t>MIT abuse after consent</w:t>
            </w:r>
          </w:p>
        </w:tc>
        <w:tc>
          <w:tcPr>
            <w:tcW w:type="dxa" w:w="1728"/>
          </w:tcPr>
          <w:p>
            <w:r>
              <w:t>RC-5</w:t>
            </w:r>
          </w:p>
        </w:tc>
        <w:tc>
          <w:tcPr>
            <w:tcW w:type="dxa" w:w="1728"/>
          </w:tcPr>
          <w:p>
            <w:r>
              <w:t>inv-04</w:t>
            </w:r>
          </w:p>
        </w:tc>
        <w:tc>
          <w:tcPr>
            <w:tcW w:type="dxa" w:w="1728"/>
          </w:tcPr>
          <w:p>
            <w:r>
              <w:t>—</w:t>
            </w:r>
          </w:p>
        </w:tc>
      </w:tr>
      <w:tr>
        <w:tc>
          <w:tcPr>
            <w:tcW w:type="dxa" w:w="1728"/>
          </w:tcPr>
          <w:p>
            <w:r>
              <w:t>C-27</w:t>
            </w:r>
          </w:p>
        </w:tc>
        <w:tc>
          <w:tcPr>
            <w:tcW w:type="dxa" w:w="1728"/>
          </w:tcPr>
          <w:p>
            <w:r>
              <w:t>Challenge fatigue</w:t>
            </w:r>
          </w:p>
        </w:tc>
        <w:tc>
          <w:tcPr>
            <w:tcW w:type="dxa" w:w="1728"/>
          </w:tcPr>
          <w:p>
            <w:r>
              <w:t>RC-6</w:t>
            </w:r>
          </w:p>
        </w:tc>
        <w:tc>
          <w:tcPr>
            <w:tcW w:type="dxa" w:w="1728"/>
          </w:tcPr>
          <w:p>
            <w:r>
              <w:t>none</w:t>
            </w:r>
          </w:p>
        </w:tc>
        <w:tc>
          <w:tcPr>
            <w:tcW w:type="dxa" w:w="1728"/>
          </w:tcPr>
          <w:p>
            <w:r>
              <w:t>—</w:t>
            </w:r>
          </w:p>
        </w:tc>
      </w:tr>
    </w:tbl>
    <w:p/>
    <w:p>
      <w:r>
        <w:rPr>
          <w:b/>
          <w:sz w:val="21"/>
        </w:rPr>
        <w:t>agent-protocol — Agent-to-agent trust, delegation, tool supply chain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M-14</w:t>
            </w:r>
          </w:p>
        </w:tc>
        <w:tc>
          <w:tcPr>
            <w:tcW w:type="dxa" w:w="1728"/>
          </w:tcPr>
          <w:p>
            <w:r>
              <w:t>Tool-description injection</w:t>
            </w:r>
          </w:p>
        </w:tc>
        <w:tc>
          <w:tcPr>
            <w:tcW w:type="dxa" w:w="1728"/>
          </w:tcPr>
          <w:p>
            <w:r>
              <w:t>RC-1</w:t>
            </w:r>
          </w:p>
        </w:tc>
        <w:tc>
          <w:tcPr>
            <w:tcW w:type="dxa" w:w="1728"/>
          </w:tcPr>
          <w:p>
            <w:r>
              <w:t>none</w:t>
            </w:r>
          </w:p>
        </w:tc>
        <w:tc>
          <w:tcPr>
            <w:tcW w:type="dxa" w:w="1728"/>
          </w:tcPr>
          <w:p>
            <w:r>
              <w:t>—</w:t>
            </w:r>
          </w:p>
        </w:tc>
      </w:tr>
      <w:tr>
        <w:tc>
          <w:tcPr>
            <w:tcW w:type="dxa" w:w="1728"/>
          </w:tcPr>
          <w:p>
            <w:r>
              <w:t>P-15</w:t>
            </w:r>
          </w:p>
        </w:tc>
        <w:tc>
          <w:tcPr>
            <w:tcW w:type="dxa" w:w="1728"/>
          </w:tcPr>
          <w:p>
            <w:r>
              <w:t>Agent impersonation</w:t>
            </w:r>
          </w:p>
        </w:tc>
        <w:tc>
          <w:tcPr>
            <w:tcW w:type="dxa" w:w="1728"/>
          </w:tcPr>
          <w:p>
            <w:r>
              <w:t>RC-2</w:t>
            </w:r>
          </w:p>
        </w:tc>
        <w:tc>
          <w:tcPr>
            <w:tcW w:type="dxa" w:w="1728"/>
          </w:tcPr>
          <w:p>
            <w:r>
              <w:t>none</w:t>
            </w:r>
          </w:p>
        </w:tc>
        <w:tc>
          <w:tcPr>
            <w:tcW w:type="dxa" w:w="1728"/>
          </w:tcPr>
          <w:p>
            <w:r>
              <w:t>—</w:t>
            </w:r>
          </w:p>
        </w:tc>
      </w:tr>
      <w:tr>
        <w:tc>
          <w:tcPr>
            <w:tcW w:type="dxa" w:w="1728"/>
          </w:tcPr>
          <w:p>
            <w:r>
              <w:t>P-16</w:t>
            </w:r>
          </w:p>
        </w:tc>
        <w:tc>
          <w:tcPr>
            <w:tcW w:type="dxa" w:w="1728"/>
          </w:tcPr>
          <w:p>
            <w:r>
              <w:t>Sub-delegation chaining</w:t>
            </w:r>
          </w:p>
        </w:tc>
        <w:tc>
          <w:tcPr>
            <w:tcW w:type="dxa" w:w="1728"/>
          </w:tcPr>
          <w:p>
            <w:r>
              <w:t>RC-5</w:t>
            </w:r>
          </w:p>
        </w:tc>
        <w:tc>
          <w:tcPr>
            <w:tcW w:type="dxa" w:w="1728"/>
          </w:tcPr>
          <w:p>
            <w:r>
              <w:t>none</w:t>
            </w:r>
          </w:p>
        </w:tc>
        <w:tc>
          <w:tcPr>
            <w:tcW w:type="dxa" w:w="1728"/>
          </w:tcPr>
          <w:p>
            <w:r>
              <w:t>—</w:t>
            </w:r>
          </w:p>
        </w:tc>
      </w:tr>
      <w:tr>
        <w:tc>
          <w:tcPr>
            <w:tcW w:type="dxa" w:w="1728"/>
          </w:tcPr>
          <w:p>
            <w:r>
              <w:t>P-17</w:t>
            </w:r>
          </w:p>
        </w:tc>
        <w:tc>
          <w:tcPr>
            <w:tcW w:type="dxa" w:w="1728"/>
          </w:tcPr>
          <w:p>
            <w:r>
              <w:t>Cross-agent mandate confusion</w:t>
            </w:r>
          </w:p>
        </w:tc>
        <w:tc>
          <w:tcPr>
            <w:tcW w:type="dxa" w:w="1728"/>
          </w:tcPr>
          <w:p>
            <w:r>
              <w:t>RC-2</w:t>
            </w:r>
          </w:p>
        </w:tc>
        <w:tc>
          <w:tcPr>
            <w:tcW w:type="dxa" w:w="1728"/>
          </w:tcPr>
          <w:p>
            <w:r>
              <w:t>inv-01</w:t>
            </w:r>
          </w:p>
        </w:tc>
        <w:tc>
          <w:tcPr>
            <w:tcW w:type="dxa" w:w="1728"/>
          </w:tcPr>
          <w:p>
            <w:r>
              <w:t>—</w:t>
            </w:r>
          </w:p>
        </w:tc>
      </w:tr>
    </w:tbl>
    <w:p/>
    <w:p>
      <w:r>
        <w:rPr>
          <w:b/>
          <w:sz w:val="21"/>
        </w:rPr>
        <w:t>agent-judgement — Subverting what the model decides to 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M-08</w:t>
            </w:r>
          </w:p>
        </w:tc>
        <w:tc>
          <w:tcPr>
            <w:tcW w:type="dxa" w:w="1728"/>
          </w:tcPr>
          <w:p>
            <w:r>
              <w:t>Branded whisper</w:t>
            </w:r>
          </w:p>
        </w:tc>
        <w:tc>
          <w:tcPr>
            <w:tcW w:type="dxa" w:w="1728"/>
          </w:tcPr>
          <w:p>
            <w:r>
              <w:t>RC-6</w:t>
            </w:r>
          </w:p>
        </w:tc>
        <w:tc>
          <w:tcPr>
            <w:tcW w:type="dxa" w:w="1728"/>
          </w:tcPr>
          <w:p>
            <w:r>
              <w:t>inv-01</w:t>
            </w:r>
          </w:p>
        </w:tc>
        <w:tc>
          <w:tcPr>
            <w:tcW w:type="dxa" w:w="1728"/>
          </w:tcPr>
          <w:p>
            <w:r>
              <w:t>yes</w:t>
            </w:r>
          </w:p>
        </w:tc>
      </w:tr>
      <w:tr>
        <w:tc>
          <w:tcPr>
            <w:tcW w:type="dxa" w:w="1728"/>
          </w:tcPr>
          <w:p>
            <w:r>
              <w:t>M-09</w:t>
            </w:r>
          </w:p>
        </w:tc>
        <w:tc>
          <w:tcPr>
            <w:tcW w:type="dxa" w:w="1728"/>
          </w:tcPr>
          <w:p>
            <w:r>
              <w:t>Invisible line-item injection</w:t>
            </w:r>
          </w:p>
        </w:tc>
        <w:tc>
          <w:tcPr>
            <w:tcW w:type="dxa" w:w="1728"/>
          </w:tcPr>
          <w:p>
            <w:r>
              <w:t>RC-6</w:t>
            </w:r>
          </w:p>
        </w:tc>
        <w:tc>
          <w:tcPr>
            <w:tcW w:type="dxa" w:w="1728"/>
          </w:tcPr>
          <w:p>
            <w:r>
              <w:t>inv-06</w:t>
            </w:r>
          </w:p>
        </w:tc>
        <w:tc>
          <w:tcPr>
            <w:tcW w:type="dxa" w:w="1728"/>
          </w:tcPr>
          <w:p>
            <w:r>
              <w:t>yes</w:t>
            </w:r>
          </w:p>
        </w:tc>
      </w:tr>
      <w:tr>
        <w:tc>
          <w:tcPr>
            <w:tcW w:type="dxa" w:w="1728"/>
          </w:tcPr>
          <w:p>
            <w:r>
              <w:t>M-10</w:t>
            </w:r>
          </w:p>
        </w:tc>
        <w:tc>
          <w:tcPr>
            <w:tcW w:type="dxa" w:w="1728"/>
          </w:tcPr>
          <w:p>
            <w:r>
              <w:t>Prompt-playback mismatch</w:t>
            </w:r>
          </w:p>
        </w:tc>
        <w:tc>
          <w:tcPr>
            <w:tcW w:type="dxa" w:w="1728"/>
          </w:tcPr>
          <w:p>
            <w:r>
              <w:t>RC-6</w:t>
            </w:r>
          </w:p>
        </w:tc>
        <w:tc>
          <w:tcPr>
            <w:tcW w:type="dxa" w:w="1728"/>
          </w:tcPr>
          <w:p>
            <w:r>
              <w:t>tier-3</w:t>
            </w:r>
          </w:p>
        </w:tc>
        <w:tc>
          <w:tcPr>
            <w:tcW w:type="dxa" w:w="1728"/>
          </w:tcPr>
          <w:p>
            <w:r>
              <w:t>—</w:t>
            </w:r>
          </w:p>
        </w:tc>
      </w:tr>
      <w:tr>
        <w:tc>
          <w:tcPr>
            <w:tcW w:type="dxa" w:w="1728"/>
          </w:tcPr>
          <w:p>
            <w:r>
              <w:t>M-11</w:t>
            </w:r>
          </w:p>
        </w:tc>
        <w:tc>
          <w:tcPr>
            <w:tcW w:type="dxa" w:w="1728"/>
          </w:tcPr>
          <w:p>
            <w:r>
              <w:t>Refund-path hijack</w:t>
            </w:r>
          </w:p>
        </w:tc>
        <w:tc>
          <w:tcPr>
            <w:tcW w:type="dxa" w:w="1728"/>
          </w:tcPr>
          <w:p>
            <w:r>
              <w:t>RC-6</w:t>
            </w:r>
          </w:p>
        </w:tc>
        <w:tc>
          <w:tcPr>
            <w:tcW w:type="dxa" w:w="1728"/>
          </w:tcPr>
          <w:p>
            <w:r>
              <w:t>tier-3</w:t>
            </w:r>
          </w:p>
        </w:tc>
        <w:tc>
          <w:tcPr>
            <w:tcW w:type="dxa" w:w="1728"/>
          </w:tcPr>
          <w:p>
            <w:r>
              <w:t>—</w:t>
            </w:r>
          </w:p>
        </w:tc>
      </w:tr>
      <w:tr>
        <w:tc>
          <w:tcPr>
            <w:tcW w:type="dxa" w:w="1728"/>
          </w:tcPr>
          <w:p>
            <w:r>
              <w:t>M-12</w:t>
            </w:r>
          </w:p>
        </w:tc>
        <w:tc>
          <w:tcPr>
            <w:tcW w:type="dxa" w:w="1728"/>
          </w:tcPr>
          <w:p>
            <w:r>
              <w:t>Registry / catalog poisoning</w:t>
            </w:r>
          </w:p>
        </w:tc>
        <w:tc>
          <w:tcPr>
            <w:tcW w:type="dxa" w:w="1728"/>
          </w:tcPr>
          <w:p>
            <w:r>
              <w:t>RC-1</w:t>
            </w:r>
          </w:p>
        </w:tc>
        <w:tc>
          <w:tcPr>
            <w:tcW w:type="dxa" w:w="1728"/>
          </w:tcPr>
          <w:p>
            <w:r>
              <w:t>tier-2</w:t>
            </w:r>
          </w:p>
        </w:tc>
        <w:tc>
          <w:tcPr>
            <w:tcW w:type="dxa" w:w="1728"/>
          </w:tcPr>
          <w:p>
            <w:r>
              <w:t>—</w:t>
            </w:r>
          </w:p>
        </w:tc>
      </w:tr>
      <w:tr>
        <w:tc>
          <w:tcPr>
            <w:tcW w:type="dxa" w:w="1728"/>
          </w:tcPr>
          <w:p>
            <w:r>
              <w:t>M-13</w:t>
            </w:r>
          </w:p>
        </w:tc>
        <w:tc>
          <w:tcPr>
            <w:tcW w:type="dxa" w:w="1728"/>
          </w:tcPr>
          <w:p>
            <w:r>
              <w:t>Memory poisoning across sessions</w:t>
            </w:r>
          </w:p>
        </w:tc>
        <w:tc>
          <w:tcPr>
            <w:tcW w:type="dxa" w:w="1728"/>
          </w:tcPr>
          <w:p>
            <w:r>
              <w:t>RC-1</w:t>
            </w:r>
          </w:p>
        </w:tc>
        <w:tc>
          <w:tcPr>
            <w:tcW w:type="dxa" w:w="1728"/>
          </w:tcPr>
          <w:p>
            <w:r>
              <w:t>none</w:t>
            </w:r>
          </w:p>
        </w:tc>
        <w:tc>
          <w:tcPr>
            <w:tcW w:type="dxa" w:w="1728"/>
          </w:tcPr>
          <w:p>
            <w:r>
              <w:t>—</w:t>
            </w:r>
          </w:p>
        </w:tc>
      </w:tr>
    </w:tbl>
    <w:p/>
    <w:p>
      <w:r>
        <w:rPr>
          <w:b/>
          <w:sz w:val="21"/>
        </w:rPr>
        <w:t>social — GenAI social engineering against the human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L-28</w:t>
            </w:r>
          </w:p>
        </w:tc>
        <w:tc>
          <w:tcPr>
            <w:tcW w:type="dxa" w:w="1728"/>
          </w:tcPr>
          <w:p>
            <w:r>
              <w:t>Voice-clone mandate authorisation</w:t>
            </w:r>
          </w:p>
        </w:tc>
        <w:tc>
          <w:tcPr>
            <w:tcW w:type="dxa" w:w="1728"/>
          </w:tcPr>
          <w:p>
            <w:r>
              <w:t>L-1</w:t>
            </w:r>
          </w:p>
        </w:tc>
        <w:tc>
          <w:tcPr>
            <w:tcW w:type="dxa" w:w="1728"/>
          </w:tcPr>
          <w:p>
            <w:r>
              <w:t>none</w:t>
            </w:r>
          </w:p>
        </w:tc>
        <w:tc>
          <w:tcPr>
            <w:tcW w:type="dxa" w:w="1728"/>
          </w:tcPr>
          <w:p>
            <w:r>
              <w:t>—</w:t>
            </w:r>
          </w:p>
        </w:tc>
      </w:tr>
      <w:tr>
        <w:tc>
          <w:tcPr>
            <w:tcW w:type="dxa" w:w="1728"/>
          </w:tcPr>
          <w:p>
            <w:r>
              <w:t>L-29</w:t>
            </w:r>
          </w:p>
        </w:tc>
        <w:tc>
          <w:tcPr>
            <w:tcW w:type="dxa" w:w="1728"/>
          </w:tcPr>
          <w:p>
            <w:r>
              <w:t>Synthetic merchant onboarding</w:t>
            </w:r>
          </w:p>
        </w:tc>
        <w:tc>
          <w:tcPr>
            <w:tcW w:type="dxa" w:w="1728"/>
          </w:tcPr>
          <w:p>
            <w:r>
              <w:t>RC-1</w:t>
            </w:r>
          </w:p>
        </w:tc>
        <w:tc>
          <w:tcPr>
            <w:tcW w:type="dxa" w:w="1728"/>
          </w:tcPr>
          <w:p>
            <w:r>
              <w:t>tier-2</w:t>
            </w:r>
          </w:p>
        </w:tc>
        <w:tc>
          <w:tcPr>
            <w:tcW w:type="dxa" w:w="1728"/>
          </w:tcPr>
          <w:p>
            <w:r>
              <w:t>—</w:t>
            </w:r>
          </w:p>
        </w:tc>
      </w:tr>
      <w:tr>
        <w:tc>
          <w:tcPr>
            <w:tcW w:type="dxa" w:w="1728"/>
          </w:tcPr>
          <w:p>
            <w:r>
              <w:t>L-30</w:t>
            </w:r>
          </w:p>
        </w:tc>
        <w:tc>
          <w:tcPr>
            <w:tcW w:type="dxa" w:w="1728"/>
          </w:tcPr>
          <w:p>
            <w:r>
              <w:t>Conversational ceiling escalation</w:t>
            </w:r>
          </w:p>
        </w:tc>
        <w:tc>
          <w:tcPr>
            <w:tcW w:type="dxa" w:w="1728"/>
          </w:tcPr>
          <w:p>
            <w:r>
              <w:t>RC-6</w:t>
            </w:r>
          </w:p>
        </w:tc>
        <w:tc>
          <w:tcPr>
            <w:tcW w:type="dxa" w:w="1728"/>
          </w:tcPr>
          <w:p>
            <w:r>
              <w:t>none</w:t>
            </w:r>
          </w:p>
        </w:tc>
        <w:tc>
          <w:tcPr>
            <w:tcW w:type="dxa" w:w="1728"/>
          </w:tcPr>
          <w:p>
            <w:r>
              <w:t>—</w:t>
            </w:r>
          </w:p>
        </w:tc>
      </w:tr>
      <w:tr>
        <w:tc>
          <w:tcPr>
            <w:tcW w:type="dxa" w:w="1728"/>
          </w:tcPr>
          <w:p>
            <w:r>
              <w:t>I-31</w:t>
            </w:r>
          </w:p>
        </w:tc>
        <w:tc>
          <w:tcPr>
            <w:tcW w:type="dxa" w:w="1728"/>
          </w:tcPr>
          <w:p>
            <w:r>
              <w:t>Coerced-principal intent</w:t>
            </w:r>
          </w:p>
        </w:tc>
        <w:tc>
          <w:tcPr>
            <w:tcW w:type="dxa" w:w="1728"/>
          </w:tcPr>
          <w:p>
            <w:r>
              <w:t>L-2</w:t>
            </w:r>
          </w:p>
        </w:tc>
        <w:tc>
          <w:tcPr>
            <w:tcW w:type="dxa" w:w="1728"/>
          </w:tcPr>
          <w:p>
            <w:r>
              <w:t>none</w:t>
            </w:r>
          </w:p>
        </w:tc>
        <w:tc>
          <w:tcPr>
            <w:tcW w:type="dxa" w:w="1728"/>
          </w:tcPr>
          <w:p>
            <w:r>
              <w:t>—</w:t>
            </w:r>
          </w:p>
        </w:tc>
      </w:tr>
    </w:tbl>
    <w:p/>
    <w:p>
      <w:r>
        <w:rPr>
          <w:b/>
          <w:sz w:val="21"/>
        </w:rPr>
        <w:t>laundering — Moving the proceeds once the payment succeeds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ID</w:t>
            </w:r>
          </w:p>
        </w:tc>
        <w:tc>
          <w:tcPr>
            <w:tcW w:type="dxa" w:w="1728"/>
          </w:tcPr>
          <w:p>
            <w:r>
              <w:rPr>
                <w:b/>
              </w:rPr>
              <w:t>Attack</w:t>
            </w:r>
          </w:p>
        </w:tc>
        <w:tc>
          <w:tcPr>
            <w:tcW w:type="dxa" w:w="1728"/>
          </w:tcPr>
          <w:p>
            <w:r>
              <w:rPr>
                <w:b/>
              </w:rPr>
              <w:t>Root cause</w:t>
            </w:r>
          </w:p>
        </w:tc>
        <w:tc>
          <w:tcPr>
            <w:tcW w:type="dxa" w:w="1728"/>
          </w:tcPr>
          <w:p>
            <w:r>
              <w:rPr>
                <w:b/>
              </w:rPr>
              <w:t>Caught by</w:t>
            </w:r>
          </w:p>
        </w:tc>
        <w:tc>
          <w:tcPr>
            <w:tcW w:type="dxa" w:w="1728"/>
          </w:tcPr>
          <w:p>
            <w:r>
              <w:rPr>
                <w:b/>
              </w:rPr>
              <w:t>Built</w:t>
            </w:r>
          </w:p>
        </w:tc>
      </w:tr>
      <w:tr>
        <w:tc>
          <w:tcPr>
            <w:tcW w:type="dxa" w:w="1728"/>
          </w:tcPr>
          <w:p>
            <w:r>
              <w:t>D-32</w:t>
            </w:r>
          </w:p>
        </w:tc>
        <w:tc>
          <w:tcPr>
            <w:tcW w:type="dxa" w:w="1728"/>
          </w:tcPr>
          <w:p>
            <w:r>
              <w:t>Mule-network fan-out</w:t>
            </w:r>
          </w:p>
        </w:tc>
        <w:tc>
          <w:tcPr>
            <w:tcW w:type="dxa" w:w="1728"/>
          </w:tcPr>
          <w:p>
            <w:r>
              <w:t>RC-5</w:t>
            </w:r>
          </w:p>
        </w:tc>
        <w:tc>
          <w:tcPr>
            <w:tcW w:type="dxa" w:w="1728"/>
          </w:tcPr>
          <w:p>
            <w:r>
              <w:t>none</w:t>
            </w:r>
          </w:p>
        </w:tc>
        <w:tc>
          <w:tcPr>
            <w:tcW w:type="dxa" w:w="1728"/>
          </w:tcPr>
          <w:p>
            <w:r>
              <w:t>—</w:t>
            </w:r>
          </w:p>
        </w:tc>
      </w:tr>
      <w:tr>
        <w:tc>
          <w:tcPr>
            <w:tcW w:type="dxa" w:w="1728"/>
          </w:tcPr>
          <w:p>
            <w:r>
              <w:t>D-33</w:t>
            </w:r>
          </w:p>
        </w:tc>
        <w:tc>
          <w:tcPr>
            <w:tcW w:type="dxa" w:w="1728"/>
          </w:tcPr>
          <w:p>
            <w:r>
              <w:t>Structuring under review thresholds</w:t>
            </w:r>
          </w:p>
        </w:tc>
        <w:tc>
          <w:tcPr>
            <w:tcW w:type="dxa" w:w="1728"/>
          </w:tcPr>
          <w:p>
            <w:r>
              <w:t>RC-4</w:t>
            </w:r>
          </w:p>
        </w:tc>
        <w:tc>
          <w:tcPr>
            <w:tcW w:type="dxa" w:w="1728"/>
          </w:tcPr>
          <w:p>
            <w:r>
              <w:t>none</w:t>
            </w:r>
          </w:p>
        </w:tc>
        <w:tc>
          <w:tcPr>
            <w:tcW w:type="dxa" w:w="1728"/>
          </w:tcPr>
          <w:p>
            <w:r>
              <w:t>—</w:t>
            </w:r>
          </w:p>
        </w:tc>
      </w:tr>
    </w:tbl>
    <w:p/>
    <w:p>
      <w:r>
        <w:rPr>
          <w:b/>
        </w:rPr>
        <w:t>Three independent entries — S-05, I-22 and D-33 — fail for want of the same missing control: cumulative accounting across mandates against a delegated cap. Three surfaces converging on one gap is the clearest signal in the map for what to build next, and finding that is what a map is for.</w:t>
      </w:r>
    </w:p>
    <w:p>
      <w:pPr>
        <w:pStyle w:val="Heading2"/>
      </w:pPr>
      <w:r>
        <w:t>Book Two  ·  Generate — the range, and the search</w:t>
      </w:r>
    </w:p>
    <w:p>
      <w:pPr>
        <w:pStyle w:val="Heading3"/>
      </w:pPr>
      <w:r>
        <w:t>Why the simulation is believable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could have been faked</w:t>
            </w:r>
          </w:p>
        </w:tc>
        <w:tc>
          <w:tcPr>
            <w:tcW w:type="dxa" w:w="4320"/>
          </w:tcPr>
          <w:p>
            <w:r>
              <w:rPr>
                <w:b/>
              </w:rPr>
              <w:t>What Praman actually does</w:t>
            </w:r>
          </w:p>
        </w:tc>
      </w:tr>
      <w:tr>
        <w:tc>
          <w:tcPr>
            <w:tcW w:type="dxa" w:w="4320"/>
          </w:tcPr>
          <w:p>
            <w:r>
              <w:t>Signatures</w:t>
            </w:r>
          </w:p>
        </w:tc>
        <w:tc>
          <w:tcPr>
            <w:tcW w:type="dxa" w:w="4320"/>
          </w:tcPr>
          <w:p>
            <w:r>
              <w:t>Real ECDSA P-256 over a canonical serialisation. Attacks re-sign only with keys the attacker legitimately holds — never the user's.</w:t>
            </w:r>
          </w:p>
        </w:tc>
      </w:tr>
      <w:tr>
        <w:tc>
          <w:tcPr>
            <w:tcW w:type="dxa" w:w="4320"/>
          </w:tcPr>
          <w:p>
            <w:r>
              <w:t>Money</w:t>
            </w:r>
          </w:p>
        </w:tc>
        <w:tc>
          <w:tcPr>
            <w:tcW w:type="dxa" w:w="4320"/>
          </w:tcPr>
          <w:p>
            <w:r>
              <w:t>Decimal paise. A float is rejected, not rounded, because a rounding error in a fraud harness is a number nobody can trust.</w:t>
            </w:r>
          </w:p>
        </w:tc>
      </w:tr>
      <w:tr>
        <w:tc>
          <w:tcPr>
            <w:tcW w:type="dxa" w:w="4320"/>
          </w:tcPr>
          <w:p>
            <w:r>
              <w:t>Settlement</w:t>
            </w:r>
          </w:p>
        </w:tc>
        <w:tc>
          <w:tcPr>
            <w:tcW w:type="dxa" w:w="4320"/>
          </w:tcPr>
          <w:p>
            <w:r>
              <w:t>SQLite with real transactions, refusing anything that did not go through the monitor. Harm is a balance delta, not a label.</w:t>
            </w:r>
          </w:p>
        </w:tc>
      </w:tr>
      <w:tr>
        <w:tc>
          <w:tcPr>
            <w:tcW w:type="dxa" w:w="4320"/>
          </w:tcPr>
          <w:p>
            <w:r>
              <w:t>The merchants</w:t>
            </w:r>
          </w:p>
        </w:tc>
        <w:tc>
          <w:tcPr>
            <w:tcW w:type="dxa" w:w="4320"/>
          </w:tcPr>
          <w:p>
            <w:r>
              <w:t>Built so no single feature separates honest from criminal — including a compromised merchant that out-scores two honest ones on every feature.</w:t>
            </w:r>
          </w:p>
        </w:tc>
      </w:tr>
      <w:tr>
        <w:tc>
          <w:tcPr>
            <w:tcW w:type="dxa" w:w="4320"/>
          </w:tcPr>
          <w:p>
            <w:r>
              <w:t>The rails</w:t>
            </w:r>
          </w:p>
        </w:tc>
        <w:tc>
          <w:tcPr>
            <w:tcW w:type="dxa" w:w="4320"/>
          </w:tcPr>
          <w:p>
            <w:r>
              <w:t>Two profiles: UPI Autopay, and NPCI UAP with a delegated cap where the agent is granted less than its principal holds.</w:t>
            </w:r>
          </w:p>
        </w:tc>
      </w:tr>
      <w:tr>
        <w:tc>
          <w:tcPr>
            <w:tcW w:type="dxa" w:w="4320"/>
          </w:tcPr>
          <w:p>
            <w:r>
              <w:t>Reproducibility</w:t>
            </w:r>
          </w:p>
        </w:tc>
        <w:tc>
          <w:tcPr>
            <w:tcW w:type="dxa" w:w="4320"/>
          </w:tcPr>
          <w:p>
            <w:r>
              <w:t>Everything seeded; the same seed reproduces every result field on any machine. CI re-derives the committed numbers on every push.</w:t>
            </w:r>
          </w:p>
        </w:tc>
      </w:tr>
    </w:tbl>
    <w:p/>
    <w:p>
      <w:pPr>
        <w:pStyle w:val="Heading3"/>
      </w:pPr>
      <w:r>
        <w:t>Attacks nobody wrote</w:t>
      </w:r>
    </w:p>
    <w:p>
      <w:r>
        <w:t>A fixed corpus is a checklist, and checklists already exist. Every variant the control refuses is handed the name of the rule that refused it — exactly what a real attacker learns from a rejection message — and a deterministic search proposes variants aimed at that rule. Winners are kept, dead ends retired, and the next round faces the same control with better attacks. The search is a pure function of (variant, rule), so it replays identically from a seed on any machine. Its dead ends are reported too.</w:t>
      </w:r>
    </w:p>
    <w:p>
      <w:pPr>
        <w:pStyle w:val="Heading2"/>
      </w:pPr>
      <w:r>
        <w:t>Book Three  ·  Defend — what the control actually stops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What it does</w:t>
            </w:r>
          </w:p>
        </w:tc>
        <w:tc>
          <w:tcPr>
            <w:tcW w:type="dxa" w:w="2880"/>
          </w:tcPr>
          <w:p>
            <w:r>
              <w:rPr>
                <w:b/>
              </w:rPr>
              <w:t>Authority</w:t>
            </w:r>
          </w:p>
        </w:tc>
      </w:tr>
      <w:tr>
        <w:tc>
          <w:tcPr>
            <w:tcW w:type="dxa" w:w="2880"/>
          </w:tcPr>
          <w:p>
            <w:r>
              <w:t>Tier 1</w:t>
            </w:r>
          </w:p>
        </w:tc>
        <w:tc>
          <w:tcPr>
            <w:tcW w:type="dxa" w:w="2880"/>
          </w:tcPr>
          <w:p>
            <w:r>
              <w:t>Seven deterministic checks on the arithmetic between mandates. No model, 3.5 ms.</w:t>
            </w:r>
          </w:p>
        </w:tc>
        <w:tc>
          <w:tcPr>
            <w:tcW w:type="dxa" w:w="2880"/>
          </w:tcPr>
          <w:p>
            <w:r>
              <w:t>Blocks, and names the rule</w:t>
            </w:r>
          </w:p>
        </w:tc>
      </w:tr>
      <w:tr>
        <w:tc>
          <w:tcPr>
            <w:tcW w:type="dxa" w:w="2880"/>
          </w:tcPr>
          <w:p>
            <w:r>
              <w:t>Tier 2</w:t>
            </w:r>
          </w:p>
        </w:tc>
        <w:tc>
          <w:tcPr>
            <w:tcW w:type="dxa" w:w="2880"/>
          </w:tcPr>
          <w:p>
            <w:r>
              <w:t>A gradient-boosted model fitted on what Tier 1 let through — Red's survivors are Blue's training set.</w:t>
            </w:r>
          </w:p>
        </w:tc>
        <w:tc>
          <w:tcPr>
            <w:tcW w:type="dxa" w:w="2880"/>
          </w:tcPr>
          <w:p>
            <w:r>
              <w:t>Blocks</w:t>
            </w:r>
          </w:p>
        </w:tc>
      </w:tr>
      <w:tr>
        <w:tc>
          <w:tcPr>
            <w:tcW w:type="dxa" w:w="2880"/>
          </w:tcPr>
          <w:p>
            <w:r>
              <w:t>Tier 3</w:t>
            </w:r>
          </w:p>
        </w:tc>
        <w:tc>
          <w:tcPr>
            <w:tcW w:type="dxa" w:w="2880"/>
          </w:tcPr>
          <w:p>
            <w:r>
              <w:t>Semantic divergence between what was described and what was charged.</w:t>
            </w:r>
          </w:p>
        </w:tc>
        <w:tc>
          <w:tcPr>
            <w:tcW w:type="dxa" w:w="2880"/>
          </w:tcPr>
          <w:p>
            <w:r>
              <w:t>Escalates only, never blocks</w:t>
            </w:r>
          </w:p>
        </w:tc>
      </w:tr>
    </w:tbl>
    <w:p/>
    <w:p>
      <w:pPr>
        <w:jc w:val="center"/>
      </w:pPr>
      <w:r>
        <w:drawing>
          <wp:inline xmlns:a="http://schemas.openxmlformats.org/drawingml/2006/main" xmlns:pic="http://schemas.openxmlformats.org/drawingml/2006/picture">
            <wp:extent cx="5852160" cy="3013687"/>
            <wp:docPr id="4" name="Picture 4"/>
            <wp:cNvGraphicFramePr>
              <a:graphicFrameLocks noChangeAspect="1"/>
            </wp:cNvGraphicFramePr>
            <a:graphic>
              <a:graphicData uri="http://schemas.openxmlformats.org/drawingml/2006/picture">
                <pic:pic>
                  <pic:nvPicPr>
                    <pic:cNvPr id="0" name="control-effect.png"/>
                    <pic:cNvPicPr/>
                  </pic:nvPicPr>
                  <pic:blipFill>
                    <a:blip r:embed="rId12"/>
                    <a:stretch>
                      <a:fillRect/>
                    </a:stretch>
                  </pic:blipFill>
                  <pic:spPr>
                    <a:xfrm>
                      <a:off x="0" y="0"/>
                      <a:ext cx="5852160" cy="3013687"/>
                    </a:xfrm>
                    <a:prstGeom prst="rect"/>
                  </pic:spPr>
                </pic:pic>
              </a:graphicData>
            </a:graphic>
          </wp:inline>
        </w:drawing>
      </w:r>
    </w:p>
    <w:p>
      <w:pPr>
        <w:jc w:val="center"/>
      </w:pPr>
      <w:r>
        <w:rPr>
          <w:b/>
          <w:color w:val="5B6675"/>
          <w:sz w:val="17"/>
        </w:rPr>
        <w:t>Figure 3 — Attack success, and the harm behind it</w:t>
      </w:r>
    </w:p>
    <w:p>
      <w:r>
        <w:rPr>
          <w:sz w:val="20"/>
        </w:rPr>
        <w:t>Attack success falls from 100% to 16.7% behind seven lines of arithmetic, and to zero with all three tiers. Then it rises again to 41.2% the moment the attacker is allowed to learn — which is the finding this project exists to report.</w:t>
      </w:r>
    </w:p>
    <w:p>
      <w:pPr>
        <w:pStyle w:val="Heading3"/>
      </w:pPr>
      <w:r>
        <w:t>Detection efficacy, per rail</w:t>
      </w:r>
    </w:p>
    <w:p>
      <w:r>
        <w:rPr>
          <w:sz w:val="20"/>
        </w:rPr>
        <w:t>Attacks are the positive class; honest traffic is the negative class. Refusals and harness errors are excluded from every rate, because they describe the victim model or our own harness rather than the control.</w:t>
      </w:r>
    </w:p>
    <w:p>
      <w:r>
        <w:rPr>
          <w:b/>
          <w:sz w:val="21"/>
        </w:rPr>
        <w:t>UPI Autopay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Control</w:t>
            </w:r>
          </w:p>
        </w:tc>
        <w:tc>
          <w:tcPr>
            <w:tcW w:type="dxa" w:w="1234"/>
          </w:tcPr>
          <w:p>
            <w:r>
              <w:rPr>
                <w:b/>
              </w:rPr>
              <w:t>ASR</w:t>
            </w:r>
          </w:p>
        </w:tc>
        <w:tc>
          <w:tcPr>
            <w:tcW w:type="dxa" w:w="1234"/>
          </w:tcPr>
          <w:p>
            <w:r>
              <w:rPr>
                <w:b/>
              </w:rPr>
              <w:t>Moved</w:t>
            </w:r>
          </w:p>
        </w:tc>
        <w:tc>
          <w:tcPr>
            <w:tcW w:type="dxa" w:w="1234"/>
          </w:tcPr>
          <w:p>
            <w:r>
              <w:rPr>
                <w:b/>
              </w:rPr>
              <w:t>Benign pass</w:t>
            </w:r>
          </w:p>
        </w:tc>
        <w:tc>
          <w:tcPr>
            <w:tcW w:type="dxa" w:w="1234"/>
          </w:tcPr>
          <w:p>
            <w:r>
              <w:rPr>
                <w:b/>
              </w:rPr>
              <w:t>Precision</w:t>
            </w:r>
          </w:p>
        </w:tc>
        <w:tc>
          <w:tcPr>
            <w:tcW w:type="dxa" w:w="1234"/>
          </w:tcPr>
          <w:p>
            <w:r>
              <w:rPr>
                <w:b/>
              </w:rPr>
              <w:t>Recall</w:t>
            </w:r>
          </w:p>
        </w:tc>
        <w:tc>
          <w:tcPr>
            <w:tcW w:type="dxa" w:w="1234"/>
          </w:tcPr>
          <w:p>
            <w:r>
              <w:rPr>
                <w:b/>
              </w:rPr>
              <w:t>F1</w:t>
            </w:r>
          </w:p>
        </w:tc>
      </w:tr>
      <w:tr>
        <w:tc>
          <w:tcPr>
            <w:tcW w:type="dxa" w:w="1234"/>
          </w:tcPr>
          <w:p>
            <w:r>
              <w:t>undefended</w:t>
            </w:r>
          </w:p>
        </w:tc>
        <w:tc>
          <w:tcPr>
            <w:tcW w:type="dxa" w:w="1234"/>
          </w:tcPr>
          <w:p>
            <w:r>
              <w:t>100.0%</w:t>
            </w:r>
          </w:p>
        </w:tc>
        <w:tc>
          <w:tcPr>
            <w:tcW w:type="dxa" w:w="1234"/>
          </w:tcPr>
          <w:p>
            <w:r>
              <w:t>₹59,356.00</w:t>
            </w:r>
          </w:p>
        </w:tc>
        <w:tc>
          <w:tcPr>
            <w:tcW w:type="dxa" w:w="1234"/>
          </w:tcPr>
          <w:p>
            <w:r>
              <w:t>100%</w:t>
            </w:r>
          </w:p>
        </w:tc>
        <w:tc>
          <w:tcPr>
            <w:tcW w:type="dxa" w:w="1234"/>
          </w:tcPr>
          <w:p>
            <w:r>
              <w:t>0.000</w:t>
            </w:r>
          </w:p>
        </w:tc>
        <w:tc>
          <w:tcPr>
            <w:tcW w:type="dxa" w:w="1234"/>
          </w:tcPr>
          <w:p>
            <w:r>
              <w:t>0.000</w:t>
            </w:r>
          </w:p>
        </w:tc>
        <w:tc>
          <w:tcPr>
            <w:tcW w:type="dxa" w:w="1234"/>
          </w:tcPr>
          <w:p>
            <w:r>
              <w:t>0.000</w:t>
            </w:r>
          </w:p>
        </w:tc>
      </w:tr>
      <w:tr>
        <w:tc>
          <w:tcPr>
            <w:tcW w:type="dxa" w:w="1234"/>
          </w:tcPr>
          <w:p>
            <w:r>
              <w:t>Tier 1</w:t>
            </w:r>
          </w:p>
        </w:tc>
        <w:tc>
          <w:tcPr>
            <w:tcW w:type="dxa" w:w="1234"/>
          </w:tcPr>
          <w:p>
            <w:r>
              <w:t>16.7%</w:t>
            </w:r>
          </w:p>
        </w:tc>
        <w:tc>
          <w:tcPr>
            <w:tcW w:type="dxa" w:w="1234"/>
          </w:tcPr>
          <w:p>
            <w:r>
              <w:t>₹3,996.00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1+2+3</w:t>
            </w:r>
          </w:p>
        </w:tc>
        <w:tc>
          <w:tcPr>
            <w:tcW w:type="dxa" w:w="1234"/>
          </w:tcPr>
          <w:p>
            <w:r>
              <w:t>0.0%</w:t>
            </w:r>
          </w:p>
        </w:tc>
        <w:tc>
          <w:tcPr>
            <w:tcW w:type="dxa" w:w="1234"/>
          </w:tcPr>
          <w:p>
            <w:r>
              <w:t>₹0.00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 · adaptive</w:t>
            </w:r>
          </w:p>
        </w:tc>
        <w:tc>
          <w:tcPr>
            <w:tcW w:type="dxa" w:w="1234"/>
          </w:tcPr>
          <w:p>
            <w:r>
              <w:t>41.2%</w:t>
            </w:r>
          </w:p>
        </w:tc>
        <w:tc>
          <w:tcPr>
            <w:tcW w:type="dxa" w:w="1234"/>
          </w:tcPr>
          <w:p>
            <w:r>
              <w:t>₹22,259.00</w:t>
            </w:r>
          </w:p>
        </w:tc>
        <w:tc>
          <w:tcPr>
            <w:tcW w:type="dxa" w:w="1234"/>
          </w:tcPr>
          <w:p>
            <w:r>
              <w:t>100%</w:t>
            </w:r>
          </w:p>
        </w:tc>
        <w:tc>
          <w:tcPr>
            <w:tcW w:type="dxa" w:w="1234"/>
          </w:tcPr>
          <w:p>
            <w:r>
              <w:t>1.000</w:t>
            </w:r>
          </w:p>
        </w:tc>
        <w:tc>
          <w:tcPr>
            <w:tcW w:type="dxa" w:w="1234"/>
          </w:tcPr>
          <w:p>
            <w:r>
              <w:t>0.529</w:t>
            </w:r>
          </w:p>
        </w:tc>
        <w:tc>
          <w:tcPr>
            <w:tcW w:type="dxa" w:w="1234"/>
          </w:tcPr>
          <w:p>
            <w:r>
              <w:t>0.692</w:t>
            </w:r>
          </w:p>
        </w:tc>
      </w:tr>
    </w:tbl>
    <w:p/>
    <w:p>
      <w:r>
        <w:rPr>
          <w:b/>
          <w:sz w:val="21"/>
        </w:rPr>
        <w:t>NPCI UAP</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Control</w:t>
            </w:r>
          </w:p>
        </w:tc>
        <w:tc>
          <w:tcPr>
            <w:tcW w:type="dxa" w:w="1234"/>
          </w:tcPr>
          <w:p>
            <w:r>
              <w:rPr>
                <w:b/>
              </w:rPr>
              <w:t>ASR</w:t>
            </w:r>
          </w:p>
        </w:tc>
        <w:tc>
          <w:tcPr>
            <w:tcW w:type="dxa" w:w="1234"/>
          </w:tcPr>
          <w:p>
            <w:r>
              <w:rPr>
                <w:b/>
              </w:rPr>
              <w:t>Moved</w:t>
            </w:r>
          </w:p>
        </w:tc>
        <w:tc>
          <w:tcPr>
            <w:tcW w:type="dxa" w:w="1234"/>
          </w:tcPr>
          <w:p>
            <w:r>
              <w:rPr>
                <w:b/>
              </w:rPr>
              <w:t>Benign pass</w:t>
            </w:r>
          </w:p>
        </w:tc>
        <w:tc>
          <w:tcPr>
            <w:tcW w:type="dxa" w:w="1234"/>
          </w:tcPr>
          <w:p>
            <w:r>
              <w:rPr>
                <w:b/>
              </w:rPr>
              <w:t>Precision</w:t>
            </w:r>
          </w:p>
        </w:tc>
        <w:tc>
          <w:tcPr>
            <w:tcW w:type="dxa" w:w="1234"/>
          </w:tcPr>
          <w:p>
            <w:r>
              <w:rPr>
                <w:b/>
              </w:rPr>
              <w:t>Recall</w:t>
            </w:r>
          </w:p>
        </w:tc>
        <w:tc>
          <w:tcPr>
            <w:tcW w:type="dxa" w:w="1234"/>
          </w:tcPr>
          <w:p>
            <w:r>
              <w:rPr>
                <w:b/>
              </w:rPr>
              <w:t>F1</w:t>
            </w:r>
          </w:p>
        </w:tc>
      </w:tr>
      <w:tr>
        <w:tc>
          <w:tcPr>
            <w:tcW w:type="dxa" w:w="1234"/>
          </w:tcPr>
          <w:p>
            <w:r>
              <w:t>undefended</w:t>
            </w:r>
          </w:p>
        </w:tc>
        <w:tc>
          <w:tcPr>
            <w:tcW w:type="dxa" w:w="1234"/>
          </w:tcPr>
          <w:p>
            <w:r>
              <w:t>100.0%</w:t>
            </w:r>
          </w:p>
        </w:tc>
        <w:tc>
          <w:tcPr>
            <w:tcW w:type="dxa" w:w="1234"/>
          </w:tcPr>
          <w:p>
            <w:r>
              <w:t>₹55,576.00</w:t>
            </w:r>
          </w:p>
        </w:tc>
        <w:tc>
          <w:tcPr>
            <w:tcW w:type="dxa" w:w="1234"/>
          </w:tcPr>
          <w:p>
            <w:r>
              <w:t>100%</w:t>
            </w:r>
          </w:p>
        </w:tc>
        <w:tc>
          <w:tcPr>
            <w:tcW w:type="dxa" w:w="1234"/>
          </w:tcPr>
          <w:p>
            <w:r>
              <w:t>0.000</w:t>
            </w:r>
          </w:p>
        </w:tc>
        <w:tc>
          <w:tcPr>
            <w:tcW w:type="dxa" w:w="1234"/>
          </w:tcPr>
          <w:p>
            <w:r>
              <w:t>0.000</w:t>
            </w:r>
          </w:p>
        </w:tc>
        <w:tc>
          <w:tcPr>
            <w:tcW w:type="dxa" w:w="1234"/>
          </w:tcPr>
          <w:p>
            <w:r>
              <w:t>0.000</w:t>
            </w:r>
          </w:p>
        </w:tc>
      </w:tr>
      <w:tr>
        <w:tc>
          <w:tcPr>
            <w:tcW w:type="dxa" w:w="1234"/>
          </w:tcPr>
          <w:p>
            <w:r>
              <w:t>Tier 1</w:t>
            </w:r>
          </w:p>
        </w:tc>
        <w:tc>
          <w:tcPr>
            <w:tcW w:type="dxa" w:w="1234"/>
          </w:tcPr>
          <w:p>
            <w:r>
              <w:t>16.7%</w:t>
            </w:r>
          </w:p>
        </w:tc>
        <w:tc>
          <w:tcPr>
            <w:tcW w:type="dxa" w:w="1234"/>
          </w:tcPr>
          <w:p>
            <w:r>
              <w:t>₹3,996.00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1+2+3</w:t>
            </w:r>
          </w:p>
        </w:tc>
        <w:tc>
          <w:tcPr>
            <w:tcW w:type="dxa" w:w="1234"/>
          </w:tcPr>
          <w:p>
            <w:r>
              <w:t>0.0%</w:t>
            </w:r>
          </w:p>
        </w:tc>
        <w:tc>
          <w:tcPr>
            <w:tcW w:type="dxa" w:w="1234"/>
          </w:tcPr>
          <w:p>
            <w:r>
              <w:t>₹0.00</w:t>
            </w:r>
          </w:p>
        </w:tc>
        <w:tc>
          <w:tcPr>
            <w:tcW w:type="dxa" w:w="1234"/>
          </w:tcPr>
          <w:p>
            <w:r>
              <w:t>100%</w:t>
            </w:r>
          </w:p>
        </w:tc>
        <w:tc>
          <w:tcPr>
            <w:tcW w:type="dxa" w:w="1234"/>
          </w:tcPr>
          <w:p>
            <w:r>
              <w:t>1.000</w:t>
            </w:r>
          </w:p>
        </w:tc>
        <w:tc>
          <w:tcPr>
            <w:tcW w:type="dxa" w:w="1234"/>
          </w:tcPr>
          <w:p>
            <w:r>
              <w:t>1.000</w:t>
            </w:r>
          </w:p>
        </w:tc>
        <w:tc>
          <w:tcPr>
            <w:tcW w:type="dxa" w:w="1234"/>
          </w:tcPr>
          <w:p>
            <w:r>
              <w:t>1.000</w:t>
            </w:r>
          </w:p>
        </w:tc>
      </w:tr>
      <w:tr>
        <w:tc>
          <w:tcPr>
            <w:tcW w:type="dxa" w:w="1234"/>
          </w:tcPr>
          <w:p>
            <w:r>
              <w:t>Tier 1 · adaptive</w:t>
            </w:r>
          </w:p>
        </w:tc>
        <w:tc>
          <w:tcPr>
            <w:tcW w:type="dxa" w:w="1234"/>
          </w:tcPr>
          <w:p>
            <w:r>
              <w:t>35.3%</w:t>
            </w:r>
          </w:p>
        </w:tc>
        <w:tc>
          <w:tcPr>
            <w:tcW w:type="dxa" w:w="1234"/>
          </w:tcPr>
          <w:p>
            <w:r>
              <w:t>₹12,599.00</w:t>
            </w:r>
          </w:p>
        </w:tc>
        <w:tc>
          <w:tcPr>
            <w:tcW w:type="dxa" w:w="1234"/>
          </w:tcPr>
          <w:p>
            <w:r>
              <w:t>100%</w:t>
            </w:r>
          </w:p>
        </w:tc>
        <w:tc>
          <w:tcPr>
            <w:tcW w:type="dxa" w:w="1234"/>
          </w:tcPr>
          <w:p>
            <w:r>
              <w:t>1.000</w:t>
            </w:r>
          </w:p>
        </w:tc>
        <w:tc>
          <w:tcPr>
            <w:tcW w:type="dxa" w:w="1234"/>
          </w:tcPr>
          <w:p>
            <w:r>
              <w:t>0.588</w:t>
            </w:r>
          </w:p>
        </w:tc>
        <w:tc>
          <w:tcPr>
            <w:tcW w:type="dxa" w:w="1234"/>
          </w:tcPr>
          <w:p>
            <w:r>
              <w:t>0.741</w:t>
            </w:r>
          </w:p>
        </w:tc>
      </w:tr>
    </w:tbl>
    <w:p/>
    <w:p>
      <w:pPr>
        <w:pStyle w:val="Heading3"/>
      </w:pPr>
      <w:r>
        <w:t>Detection is not prevention</w:t>
      </w:r>
    </w:p>
    <w:p>
      <w:pPr>
        <w:jc w:val="center"/>
      </w:pPr>
      <w:r>
        <w:drawing>
          <wp:inline xmlns:a="http://schemas.openxmlformats.org/drawingml/2006/main" xmlns:pic="http://schemas.openxmlformats.org/drawingml/2006/picture">
            <wp:extent cx="5852160" cy="2952362"/>
            <wp:docPr id="5" name="Picture 5"/>
            <wp:cNvGraphicFramePr>
              <a:graphicFrameLocks noChangeAspect="1"/>
            </wp:cNvGraphicFramePr>
            <a:graphic>
              <a:graphicData uri="http://schemas.openxmlformats.org/drawingml/2006/picture">
                <pic:pic>
                  <pic:nvPicPr>
                    <pic:cNvPr id="0" name="detection-paradox.png"/>
                    <pic:cNvPicPr/>
                  </pic:nvPicPr>
                  <pic:blipFill>
                    <a:blip r:embed="rId13"/>
                    <a:stretch>
                      <a:fillRect/>
                    </a:stretch>
                  </pic:blipFill>
                  <pic:spPr>
                    <a:xfrm>
                      <a:off x="0" y="0"/>
                      <a:ext cx="5852160" cy="2952362"/>
                    </a:xfrm>
                    <a:prstGeom prst="rect"/>
                  </pic:spPr>
                </pic:pic>
              </a:graphicData>
            </a:graphic>
          </wp:inline>
        </w:drawing>
      </w:r>
    </w:p>
    <w:p>
      <w:pPr>
        <w:jc w:val="center"/>
      </w:pPr>
      <w:r>
        <w:rPr>
          <w:b/>
          <w:color w:val="5B6675"/>
          <w:sz w:val="17"/>
        </w:rPr>
        <w:t>Figure 4 — A perfect classifier over a system losing money</w:t>
      </w:r>
    </w:p>
    <w:p>
      <w:r>
        <w:rPr>
          <w:b/>
        </w:rPr>
        <w:t>Both panels describe the same campaign. Tier 1 scores precision 1.000, recall 1.000, F1 1.000 and zero false positives — and ₹3,996.00 still reaches the attacker. S-03 fires three concurrent redemptions at one authorisation; the control refuses two and the third settles. Every one of those episodes is a true positive by decision and a success by ledger.</w:t>
      </w:r>
    </w:p>
    <w:p>
      <w:r>
        <w:rPr>
          <w:sz w:val="20"/>
        </w:rPr>
        <w:t>Reporting only F1 would show a perfect classifier over a system losing money. Reporting only attack success would hide that the control saw every attack coming. Both are printed side by side, always, because in live payments a flag that arrives after settlement is a chargeback, not a defense.</w:t>
      </w:r>
    </w:p>
    <w:p>
      <w:pPr>
        <w:pStyle w:val="Heading3"/>
      </w:pPr>
      <w:r>
        <w:t>What adaptation does</w:t>
      </w:r>
    </w:p>
    <w:p>
      <w:pPr>
        <w:jc w:val="center"/>
      </w:pPr>
      <w:r>
        <w:drawing>
          <wp:inline xmlns:a="http://schemas.openxmlformats.org/drawingml/2006/main" xmlns:pic="http://schemas.openxmlformats.org/drawingml/2006/picture">
            <wp:extent cx="5852160" cy="3039969"/>
            <wp:docPr id="6" name="Picture 6"/>
            <wp:cNvGraphicFramePr>
              <a:graphicFrameLocks noChangeAspect="1"/>
            </wp:cNvGraphicFramePr>
            <a:graphic>
              <a:graphicData uri="http://schemas.openxmlformats.org/drawingml/2006/picture">
                <pic:pic>
                  <pic:nvPicPr>
                    <pic:cNvPr id="0" name="adaptation.png"/>
                    <pic:cNvPicPr/>
                  </pic:nvPicPr>
                  <pic:blipFill>
                    <a:blip r:embed="rId14"/>
                    <a:stretch>
                      <a:fillRect/>
                    </a:stretch>
                  </pic:blipFill>
                  <pic:spPr>
                    <a:xfrm>
                      <a:off x="0" y="0"/>
                      <a:ext cx="5852160" cy="3039969"/>
                    </a:xfrm>
                    <a:prstGeom prst="rect"/>
                  </pic:spPr>
                </pic:pic>
              </a:graphicData>
            </a:graphic>
          </wp:inline>
        </w:drawing>
      </w:r>
    </w:p>
    <w:p>
      <w:pPr>
        <w:jc w:val="center"/>
      </w:pPr>
      <w:r>
        <w:rPr>
          <w:b/>
          <w:color w:val="5B6675"/>
          <w:sz w:val="17"/>
        </w:rPr>
        <w:t>Figure 5 — What happens when the attacker is allowed to learn</w:t>
      </w:r>
    </w:p>
    <w:p>
      <w:pPr>
        <w:pStyle w:val="ListBullet"/>
      </w:pPr>
      <w:r>
        <w:t>UPI Autopay: attack success rises from 16.7% to 66.7% — a delta of +50.0 points — and the control is first broken in round 1. Recall falls from 1.000 to 0.000: the variants the search finds are not caught late, they are not caught at all.</w:t>
      </w:r>
    </w:p>
    <w:p>
      <w:pPr>
        <w:pStyle w:val="ListBullet"/>
      </w:pPr>
      <w:r>
        <w:t>NPCI UAP: attack success rises from 16.7% to 50.0% — a delta of +33.3 points — and the control is first broken in round 1. Recall falls from 1.000 to 0.000: the variants the search finds are not caught late, they are not caught at all.</w:t>
      </w:r>
    </w:p>
    <w:p>
      <w:r>
        <w:rPr>
          <w:b/>
        </w:rPr>
        <w:t>Every comparable tool reports the round-0 number and stops. A control that holds against a documented attack list and folds in one round against an attacker that reads its rejections has not been tested.</w:t>
      </w:r>
    </w:p>
    <w:p>
      <w:pPr>
        <w:pStyle w:val="Heading3"/>
      </w:pPr>
      <w:r>
        <w:t>Where the learned tier stops, and which model is shopping</w:t>
      </w:r>
    </w:p>
    <w:p>
      <w:r>
        <w:rPr>
          <w:sz w:val="20"/>
        </w:rPr>
        <w:t>Tier 2 catches 52 of 52 in-sample with zero false positives in 72, scores an AUC of 0.917, and catches 0% against either held-out merchant it was not trained on. Reported rather than hidden: a learned tier generalises to variants of what it has seen, not to techniques nobody has run — which is why Tier 1 goes first and why the headline result does not rest on a model.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Victim model</w:t>
            </w:r>
          </w:p>
        </w:tc>
        <w:tc>
          <w:tcPr>
            <w:tcW w:type="dxa" w:w="2880"/>
          </w:tcPr>
          <w:p>
            <w:r>
              <w:rPr>
                <w:b/>
              </w:rPr>
              <w:t>M-08 branded whisper</w:t>
            </w:r>
          </w:p>
        </w:tc>
        <w:tc>
          <w:tcPr>
            <w:tcW w:type="dxa" w:w="2880"/>
          </w:tcPr>
          <w:p>
            <w:r>
              <w:rPr>
                <w:b/>
              </w:rPr>
              <w:t>Every structural attack</w:t>
            </w:r>
          </w:p>
        </w:tc>
      </w:tr>
      <w:tr>
        <w:tc>
          <w:tcPr>
            <w:tcW w:type="dxa" w:w="2880"/>
          </w:tcPr>
          <w:p>
            <w:r>
              <w:t>scripted baseline</w:t>
            </w:r>
          </w:p>
        </w:tc>
        <w:tc>
          <w:tcPr>
            <w:tcW w:type="dxa" w:w="2880"/>
          </w:tcPr>
          <w:p>
            <w:r>
              <w:t>100%</w:t>
            </w:r>
          </w:p>
        </w:tc>
        <w:tc>
          <w:tcPr>
            <w:tcW w:type="dxa" w:w="2880"/>
          </w:tcPr>
          <w:p>
            <w:r>
              <w:t>100%</w:t>
            </w:r>
          </w:p>
        </w:tc>
      </w:tr>
      <w:tr>
        <w:tc>
          <w:tcPr>
            <w:tcW w:type="dxa" w:w="2880"/>
          </w:tcPr>
          <w:p>
            <w:r>
              <w:t>qwen2.5:1.5b</w:t>
            </w:r>
          </w:p>
        </w:tc>
        <w:tc>
          <w:tcPr>
            <w:tcW w:type="dxa" w:w="2880"/>
          </w:tcPr>
          <w:p>
            <w:r>
              <w:t>0%</w:t>
            </w:r>
          </w:p>
        </w:tc>
        <w:tc>
          <w:tcPr>
            <w:tcW w:type="dxa" w:w="2880"/>
          </w:tcPr>
          <w:p>
            <w:r>
              <w:t>100%</w:t>
            </w:r>
          </w:p>
        </w:tc>
      </w:tr>
      <w:tr>
        <w:tc>
          <w:tcPr>
            <w:tcW w:type="dxa" w:w="2880"/>
          </w:tcPr>
          <w:p>
            <w:r>
              <w:t>llama3.2:3b</w:t>
            </w:r>
          </w:p>
        </w:tc>
        <w:tc>
          <w:tcPr>
            <w:tcW w:type="dxa" w:w="2880"/>
          </w:tcPr>
          <w:p>
            <w:r>
              <w:t>0%</w:t>
            </w:r>
          </w:p>
        </w:tc>
        <w:tc>
          <w:tcPr>
            <w:tcW w:type="dxa" w:w="2880"/>
          </w:tcPr>
          <w:p>
            <w:r>
              <w:t>100%</w:t>
            </w:r>
          </w:p>
        </w:tc>
      </w:tr>
      <w:tr>
        <w:tc>
          <w:tcPr>
            <w:tcW w:type="dxa" w:w="2880"/>
          </w:tcPr>
          <w:p>
            <w:r>
              <w:t>mistral:latest</w:t>
            </w:r>
          </w:p>
        </w:tc>
        <w:tc>
          <w:tcPr>
            <w:tcW w:type="dxa" w:w="2880"/>
          </w:tcPr>
          <w:p>
            <w:r>
              <w:t>100%</w:t>
            </w:r>
          </w:p>
        </w:tc>
        <w:tc>
          <w:tcPr>
            <w:tcW w:type="dxa" w:w="2880"/>
          </w:tcPr>
          <w:p>
            <w:r>
              <w:t>100%</w:t>
            </w:r>
          </w:p>
        </w:tc>
      </w:tr>
    </w:tbl>
    <w:p/>
    <w:p>
      <w:r>
        <w:rPr>
          <w:sz w:val="20"/>
        </w:rPr>
        <w:t>Structural attacks succeed against every model at the same rate — they break arithmetic, and arithmetic has no opinion about which model is shopping. Choosing a better model moves the semantic column and leaves the structural one untouched, which is the case for fixing this at the control layer rather than hoping for a safer agent.</w:t>
      </w:r>
    </w:p>
    <w:p>
      <w:pPr>
        <w:pStyle w:val="Heading2"/>
      </w:pPr>
      <w:r>
        <w:t>Book Four  ·  Feasibility — running this in production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Question a deployer asks</w:t>
            </w:r>
          </w:p>
        </w:tc>
        <w:tc>
          <w:tcPr>
            <w:tcW w:type="dxa" w:w="4320"/>
          </w:tcPr>
          <w:p>
            <w:r>
              <w:rPr>
                <w:b/>
              </w:rPr>
              <w:t>Answer</w:t>
            </w:r>
          </w:p>
        </w:tc>
      </w:tr>
      <w:tr>
        <w:tc>
          <w:tcPr>
            <w:tcW w:type="dxa" w:w="4320"/>
          </w:tcPr>
          <w:p>
            <w:r>
              <w:t>Is it fast enough for an authorisation path?</w:t>
            </w:r>
          </w:p>
        </w:tc>
        <w:tc>
          <w:tcPr>
            <w:tcW w:type="dxa" w:w="4320"/>
          </w:tcPr>
          <w:p>
            <w:r>
              <w:t>3.5 ms per authorisation, of which the arithmetic is ~0.02 ms. No model, no GPU, no network call.</w:t>
            </w:r>
          </w:p>
        </w:tc>
      </w:tr>
      <w:tr>
        <w:tc>
          <w:tcPr>
            <w:tcW w:type="dxa" w:w="4320"/>
          </w:tcPr>
          <w:p>
            <w:r>
              <w:t>Who can deploy it?</w:t>
            </w:r>
          </w:p>
        </w:tc>
        <w:tc>
          <w:tcPr>
            <w:tcW w:type="dxa" w:w="4320"/>
          </w:tcPr>
          <w:p>
            <w:r>
              <w:t>A PSP, issuer or rail operator, without the agent vendor's cooperation — which matters, because the agent vendor does not carry the loss.</w:t>
            </w:r>
          </w:p>
        </w:tc>
      </w:tr>
      <w:tr>
        <w:tc>
          <w:tcPr>
            <w:tcW w:type="dxa" w:w="4320"/>
          </w:tcPr>
          <w:p>
            <w:r>
              <w:t>Can it explain a refusal to a regulator?</w:t>
            </w:r>
          </w:p>
        </w:tc>
        <w:tc>
          <w:tcPr>
            <w:tcW w:type="dxa" w:w="4320"/>
          </w:tcPr>
          <w:p>
            <w:r>
              <w:t>Every block names the rule with observed and expected values. Asserted by a test, not claimed.</w:t>
            </w:r>
          </w:p>
        </w:tc>
      </w:tr>
      <w:tr>
        <w:tc>
          <w:tcPr>
            <w:tcW w:type="dxa" w:w="4320"/>
          </w:tcPr>
          <w:p>
            <w:r>
              <w:t>Will it block real customers?</w:t>
            </w:r>
          </w:p>
        </w:tc>
        <w:tc>
          <w:tcPr>
            <w:tcW w:type="dxa" w:w="4320"/>
          </w:tcPr>
          <w:p>
            <w:r>
              <w:t>Benign pass rate is 100% across every committed campaign, printed beside every headline number.</w:t>
            </w:r>
          </w:p>
        </w:tc>
      </w:tr>
      <w:tr>
        <w:tc>
          <w:tcPr>
            <w:tcW w:type="dxa" w:w="4320"/>
          </w:tcPr>
          <w:p>
            <w:r>
              <w:t>Does it work on more than one rail?</w:t>
            </w:r>
          </w:p>
        </w:tc>
        <w:tc>
          <w:tcPr>
            <w:tcW w:type="dxa" w:w="4320"/>
          </w:tcPr>
          <w:p>
            <w:r>
              <w:t>UPI Autopay and NPCI UAP are both implemented and produce genuinely different campaigns. A new rail is a profile, not a rewrite.</w:t>
            </w:r>
          </w:p>
        </w:tc>
      </w:tr>
      <w:tr>
        <w:tc>
          <w:tcPr>
            <w:tcW w:type="dxa" w:w="4320"/>
          </w:tcPr>
          <w:p>
            <w:r>
              <w:t>What does the demo cost to run?</w:t>
            </w:r>
          </w:p>
        </w:tc>
        <w:tc>
          <w:tcPr>
            <w:tcW w:type="dxa" w:w="4320"/>
          </w:tcPr>
          <w:p>
            <w:r>
              <w:t>Nothing. No server, no credential, no database — the deployed arena is committed files a judge can diff against a local re-run.</w:t>
            </w:r>
          </w:p>
        </w:tc>
      </w:tr>
    </w:tbl>
    <w:p/>
    <w:p>
      <w:pPr>
        <w:pStyle w:val="Heading3"/>
      </w:pPr>
      <w:r>
        <w:t>Risks and honest limits</w:t>
      </w:r>
    </w:p>
    <w:p>
      <w:pPr>
        <w:pStyle w:val="ListBullet"/>
      </w:pPr>
      <w:r>
        <w:t>I-31, coerced-principal intent, is deliberately unbuildable at the mandate layer. The human signed under duress, every check passes, the money is gone — the fraud is upstream of the mandate. Naming the limit of the cryptographic approach the industry is betting on is more useful than pretending not to have one.</w:t>
      </w:r>
    </w:p>
    <w:p>
      <w:pPr>
        <w:pStyle w:val="ListBullet"/>
      </w:pPr>
      <w:r>
        <w:t>28 of 34 mapped vectors are not built. Each says why in its note, so the range's boundaries are recorded rather than hidden.</w:t>
      </w:r>
    </w:p>
    <w:p>
      <w:pPr>
        <w:pStyle w:val="ListBullet"/>
      </w:pPr>
      <w:r>
        <w:t>The range is a simulation — a high-fidelity one, but a simulation. Production would meet merchant populations and volumes we have modelled rather than observed. What transfers is the method and the control; the rates would have to be re-measured on real traffic, and the harness is built to be pointed at it.</w:t>
      </w:r>
    </w:p>
    <w:p>
      <w:pPr>
        <w:pStyle w:val="ListBullet"/>
      </w:pPr>
      <w:r>
        <w:t>Tier 2's held-out recall is 0%. It is in this report, and in the arena, because a learned tier that only looks good in-sample is the failure mode this whole project is designed to catch.</w:t>
      </w:r>
    </w:p>
    <w:p>
      <w:r>
        <w:br w:type="page"/>
      </w:r>
    </w:p>
    <w:p>
      <w:pPr>
        <w:pStyle w:val="Heading1"/>
      </w:pPr>
      <w:r>
        <w:t>Appendix A  ·  Reproduce every number in this report</w:t>
      </w:r>
    </w:p>
    <w:p>
      <w:r>
        <w:t>Python 3.12 and nothing else. No Node, no npm, no build step, no API key.</w:t>
      </w:r>
    </w:p>
    <w:p>
      <w:pPr>
        <w:pStyle w:val="ListBullet"/>
      </w:pPr>
      <w:r>
        <w:t>pip install -e ".[dev,docs]"   —   install, with the document toolchain</w:t>
      </w:r>
    </w:p>
    <w:p>
      <w:pPr>
        <w:pStyle w:val="ListBullet"/>
      </w:pPr>
      <w:r>
        <w:t>python -m praman demo   —   one honest purchase, settled end to end</w:t>
      </w:r>
    </w:p>
    <w:p>
      <w:pPr>
        <w:pStyle w:val="ListBullet"/>
      </w:pPr>
      <w:r>
        <w:t>python -m praman corpus   —   the attack map, Figure 6</w:t>
      </w:r>
    </w:p>
    <w:p>
      <w:pPr>
        <w:pStyle w:val="ListBullet"/>
      </w:pPr>
      <w:r>
        <w:t>python -m praman matrix   —   regenerate every campaign</w:t>
      </w:r>
    </w:p>
    <w:p>
      <w:pPr>
        <w:pStyle w:val="ListBullet"/>
      </w:pPr>
      <w:r>
        <w:t>python -m praman detect   —   precision, recall, F1, AUC — Figures 3 and 4</w:t>
      </w:r>
    </w:p>
    <w:p>
      <w:pPr>
        <w:pStyle w:val="ListBullet"/>
      </w:pPr>
      <w:r>
        <w:t>python -m praman adapt   —   the static-versus-adaptive gap — Figure 5</w:t>
      </w:r>
    </w:p>
    <w:p>
      <w:pPr>
        <w:pStyle w:val="ListBullet"/>
      </w:pPr>
      <w:r>
        <w:t>python -m praman models   —   attack success by victim model (needs Ollama)</w:t>
      </w:r>
    </w:p>
    <w:p>
      <w:pPr>
        <w:pStyle w:val="ListBullet"/>
      </w:pPr>
      <w:r>
        <w:t>python -m praman serve   —   the arena, locally</w:t>
      </w:r>
    </w:p>
    <w:p>
      <w:pPr>
        <w:pStyle w:val="ListBullet"/>
      </w:pPr>
      <w:r>
        <w:t>python -m praman test   —   the full suite</w:t>
      </w:r>
    </w:p>
    <w:p>
      <w:pPr>
        <w:pStyle w:val="ListBullet"/>
      </w:pPr>
      <w:r>
        <w:t>python -m praman walkthrough   —   rebuild this document, figures included</w:t>
      </w:r>
    </w:p>
    <w:p>
      <w:pPr>
        <w:pStyle w:val="Heading1"/>
      </w:pPr>
      <w:r>
        <w:t>Appendix B  ·  Market and technical figures, by source</w:t>
      </w:r>
    </w:p>
    <w:p>
      <w:r>
        <w:rPr>
          <w:color w:val="5B6675"/>
          <w:sz w:val="19"/>
        </w:rPr>
        <w:t>Every external number in this report, with whoever published it. Nothing here is a forecast of ours; where analysts disagree the spread is shown rather than the most flattering end of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Figure</w:t>
            </w:r>
          </w:p>
        </w:tc>
        <w:tc>
          <w:tcPr>
            <w:tcW w:type="dxa" w:w="2880"/>
          </w:tcPr>
          <w:p>
            <w:r>
              <w:rPr>
                <w:b/>
              </w:rPr>
              <w:t>Value</w:t>
            </w:r>
          </w:p>
        </w:tc>
        <w:tc>
          <w:tcPr>
            <w:tcW w:type="dxa" w:w="2880"/>
          </w:tcPr>
          <w:p>
            <w:r>
              <w:rPr>
                <w:b/>
              </w:rPr>
              <w:t>Source</w:t>
            </w:r>
          </w:p>
        </w:tc>
      </w:tr>
      <w:tr>
        <w:tc>
          <w:tcPr>
            <w:tcW w:type="dxa" w:w="2880"/>
          </w:tcPr>
          <w:p>
            <w:r>
              <w:t>Agentic commerce spend, 2030</w:t>
            </w:r>
          </w:p>
        </w:tc>
        <w:tc>
          <w:tcPr>
            <w:tcW w:type="dxa" w:w="2880"/>
          </w:tcPr>
          <w:p>
            <w:r>
              <w:t>$1.5 trillion</w:t>
            </w:r>
          </w:p>
        </w:tc>
        <w:tc>
          <w:tcPr>
            <w:tcW w:type="dxa" w:w="2880"/>
          </w:tcPr>
          <w:p>
            <w:r>
              <w:t>Juniper Research</w:t>
            </w:r>
          </w:p>
        </w:tc>
      </w:tr>
      <w:tr>
        <w:tc>
          <w:tcPr>
            <w:tcW w:type="dxa" w:w="2880"/>
          </w:tcPr>
          <w:p>
            <w:r>
              <w:t>Same, McKinsey's estimate</w:t>
            </w:r>
          </w:p>
        </w:tc>
        <w:tc>
          <w:tcPr>
            <w:tcW w:type="dxa" w:w="2880"/>
          </w:tcPr>
          <w:p>
            <w:r>
              <w:t>$3–5 trillion</w:t>
            </w:r>
          </w:p>
        </w:tc>
        <w:tc>
          <w:tcPr>
            <w:tcW w:type="dxa" w:w="2880"/>
          </w:tcPr>
          <w:p>
            <w:r>
              <w:t>McKinsey &amp; Company, as reported by Stellagent</w:t>
            </w:r>
          </w:p>
        </w:tc>
      </w:tr>
      <w:tr>
        <w:tc>
          <w:tcPr>
            <w:tcW w:type="dxa" w:w="2880"/>
          </w:tcPr>
          <w:p>
            <w:r>
              <w:t>US agentic commerce, 2030</w:t>
            </w:r>
          </w:p>
        </w:tc>
        <w:tc>
          <w:tcPr>
            <w:tcW w:type="dxa" w:w="2880"/>
          </w:tcPr>
          <w:p>
            <w:r>
              <w:t>$300–500 billion</w:t>
            </w:r>
          </w:p>
        </w:tc>
        <w:tc>
          <w:tcPr>
            <w:tcW w:type="dxa" w:w="2880"/>
          </w:tcPr>
          <w:p>
            <w:r>
              <w:t>Bain &amp; Company</w:t>
            </w:r>
          </w:p>
        </w:tc>
      </w:tr>
      <w:tr>
        <w:tc>
          <w:tcPr>
            <w:tcW w:type="dxa" w:w="2880"/>
          </w:tcPr>
          <w:p>
            <w:r>
              <w:t>Deployment status, 2025–26</w:t>
            </w:r>
          </w:p>
        </w:tc>
        <w:tc>
          <w:tcPr>
            <w:tcW w:type="dxa" w:w="2880"/>
          </w:tcPr>
          <w:p>
            <w:r>
              <w:t>pilot deployments only</w:t>
            </w:r>
          </w:p>
        </w:tc>
        <w:tc>
          <w:tcPr>
            <w:tcW w:type="dxa" w:w="2880"/>
          </w:tcPr>
          <w:p>
            <w:r>
              <w:t>Juniper Research</w:t>
            </w:r>
          </w:p>
        </w:tc>
      </w:tr>
      <w:tr>
        <w:tc>
          <w:tcPr>
            <w:tcW w:type="dxa" w:w="2880"/>
          </w:tcPr>
          <w:p>
            <w:r>
              <w:t>Named barrier to adoption</w:t>
            </w:r>
          </w:p>
        </w:tc>
        <w:tc>
          <w:tcPr>
            <w:tcW w:type="dxa" w:w="2880"/>
          </w:tcPr>
          <w:p>
            <w:r>
              <w:t>trust, ranked first</w:t>
            </w:r>
          </w:p>
        </w:tc>
        <w:tc>
          <w:tcPr>
            <w:tcW w:type="dxa" w:w="2880"/>
          </w:tcPr>
          <w:p>
            <w:r>
              <w:t>Juniper Research</w:t>
            </w:r>
          </w:p>
        </w:tc>
      </w:tr>
      <w:tr>
        <w:tc>
          <w:tcPr>
            <w:tcW w:type="dxa" w:w="2880"/>
          </w:tcPr>
          <w:p>
            <w:r>
              <w:t>UPI, May 2026</w:t>
            </w:r>
          </w:p>
        </w:tc>
        <w:tc>
          <w:tcPr>
            <w:tcW w:type="dxa" w:w="2880"/>
          </w:tcPr>
          <w:p>
            <w:r>
              <w:t>23.2bn transactions, ₹29.9tn</w:t>
            </w:r>
          </w:p>
        </w:tc>
        <w:tc>
          <w:tcPr>
            <w:tcW w:type="dxa" w:w="2880"/>
          </w:tcPr>
          <w:p>
            <w:r>
              <w:t>National Payments Corporation of India, reported by ANI</w:t>
            </w:r>
          </w:p>
        </w:tc>
      </w:tr>
      <w:tr>
        <w:tc>
          <w:tcPr>
            <w:tcW w:type="dxa" w:w="2880"/>
          </w:tcPr>
          <w:p>
            <w:r>
              <w:t>UPI fraud, FY25</w:t>
            </w:r>
          </w:p>
        </w:tc>
        <w:tc>
          <w:tcPr>
            <w:tcW w:type="dxa" w:w="2880"/>
          </w:tcPr>
          <w:p>
            <w:r>
              <w:t>₹981 crore, 12.64 lakh cases</w:t>
            </w:r>
          </w:p>
        </w:tc>
        <w:tc>
          <w:tcPr>
            <w:tcW w:type="dxa" w:w="2880"/>
          </w:tcPr>
          <w:p>
            <w:r>
              <w:t>Government of India data placed before Parliament, reported by The420.in</w:t>
            </w:r>
          </w:p>
        </w:tc>
      </w:tr>
      <w:tr>
        <w:tc>
          <w:tcPr>
            <w:tcW w:type="dxa" w:w="2880"/>
          </w:tcPr>
          <w:p>
            <w:r>
              <w:t>Indian cyber fraud losses, 2025</w:t>
            </w:r>
          </w:p>
        </w:tc>
        <w:tc>
          <w:tcPr>
            <w:tcW w:type="dxa" w:w="2880"/>
          </w:tcPr>
          <w:p>
            <w:r>
              <w:t>₹22,495 crore</w:t>
            </w:r>
          </w:p>
        </w:tc>
        <w:tc>
          <w:tcPr>
            <w:tcW w:type="dxa" w:w="2880"/>
          </w:tcPr>
          <w:p>
            <w:r>
              <w:t>Ministry of Home Affairs / Indian Cyber Crime Coordination Centre, reported by ScamWatch HQ</w:t>
            </w:r>
          </w:p>
        </w:tc>
      </w:tr>
      <w:tr>
        <w:tc>
          <w:tcPr>
            <w:tcW w:type="dxa" w:w="2880"/>
          </w:tcPr>
          <w:p>
            <w:r>
              <w:t>Breach-and-attack-simulation market, 2026</w:t>
            </w:r>
          </w:p>
        </w:tc>
        <w:tc>
          <w:tcPr>
            <w:tcW w:type="dxa" w:w="2880"/>
          </w:tcPr>
          <w:p>
            <w:r>
              <w:t>$1.29 billion</w:t>
            </w:r>
          </w:p>
        </w:tc>
        <w:tc>
          <w:tcPr>
            <w:tcW w:type="dxa" w:w="2880"/>
          </w:tcPr>
          <w:p>
            <w:r>
              <w:t>Mordor Intelligence</w:t>
            </w:r>
          </w:p>
        </w:tc>
      </w:tr>
      <w:tr>
        <w:tc>
          <w:tcPr>
            <w:tcW w:type="dxa" w:w="2880"/>
          </w:tcPr>
          <w:p>
            <w:r>
              <w:t>Of which simulates payment mandates</w:t>
            </w:r>
          </w:p>
        </w:tc>
        <w:tc>
          <w:tcPr>
            <w:tcW w:type="dxa" w:w="2880"/>
          </w:tcPr>
          <w:p>
            <w:r>
              <w:t>no vendor identified</w:t>
            </w:r>
          </w:p>
        </w:tc>
        <w:tc>
          <w:tcPr>
            <w:tcW w:type="dxa" w:w="2880"/>
          </w:tcPr>
          <w:p>
            <w:r>
              <w:t>measured by us</w:t>
            </w:r>
          </w:p>
        </w:tc>
      </w:tr>
    </w:tbl>
    <w:p/>
    <w:p>
      <w:pPr>
        <w:pStyle w:val="Heading1"/>
      </w:pPr>
      <w:r>
        <w:t>Appendix C  ·  References</w:t>
      </w:r>
    </w:p>
    <w:p>
      <w:r>
        <w:rPr>
          <w:sz w:val="18"/>
        </w:rPr>
        <w:t>[1]  Google Cloud (16 September 2025). Announcing the Agent Payments Protocol (AP2) — signed Intent, Cart and Payment mandates carried as W3C Verifiable Credentials; open licence, 60+ partners. https://cloud.google.com/blog/products/ai-machine-learning/announcing-agents-to-payments-ap2-protocol</w:t>
      </w:r>
    </w:p>
    <w:p>
      <w:r>
        <w:rPr>
          <w:sz w:val="18"/>
        </w:rPr>
        <w:t>[2]  Mastercard (29 April 2025). Mastercard unveils Agent Pay — Agentic Tokens extending the Mastercard Digital Enablement Service to verified AI agents. https://www.mastercard.com/global/en/news-and-trends/press/2025/april/mastercard-unveils-agent-pay-pioneering-agentic-payments-technology-to-power-commerce-in-the-age-of-ai.html</w:t>
      </w:r>
    </w:p>
    <w:p>
      <w:r>
        <w:rPr>
          <w:sz w:val="18"/>
        </w:rPr>
        <w:t>[3]  Business Standard (July 2026). India may allow agentic AI-led UPI transactions under new NPCI protocol — the Unified Agent Protocol, to register, verify and authorise AI agents across UPI without changing the underlying rails. https://www.business-standard.com/finance/news/india-may-allow-agentic-ai-led-upi-transactions-under-new-npci-protocol-126070801343_1.html</w:t>
      </w:r>
    </w:p>
    <w:p>
      <w:r>
        <w:rPr>
          <w:sz w:val="18"/>
        </w:rPr>
        <w:t>[4]  Juniper Research (April 2026). Agentic Commerce Market 2026–2031 — agentic commerce spend to reach $1.5tn in 2030, growing from pilot deployments in 2025 and 2026; "trust will remain the number one barrier to agentic commerce deployment". https://www.juniperresearch.com/press/agentic-commerce-set-to-generate-15-trillion-globally-by-2030-as-payments-infrastructure-leaders-revealed/</w:t>
      </w:r>
    </w:p>
    <w:p>
      <w:r>
        <w:rPr>
          <w:sz w:val="18"/>
        </w:rPr>
        <w:t>[5]  McKinsey &amp; Company, as reported by Stellagent (2026). Global agentic commerce projected at $3tn–$5tn in revenue by 2030 — quoted here from secondary reporting, not from the original publication. https://stellagent.ai/insights/agentic-commerce-market-size-forecast-2030</w:t>
      </w:r>
    </w:p>
    <w:p>
      <w:r>
        <w:rPr>
          <w:sz w:val="18"/>
        </w:rPr>
        <w:t>[6]  Bain &amp; Company (2026). 2030 forecast: how agentic AI will reshape US retail — US agentic commerce at $300bn–$500bn by 2030, roughly 15–25% of e-commerce. https://www.bain.com/insights/2030-forecast-how-agentic-ai-will-reshape-us-retail-snap-chart/</w:t>
      </w:r>
    </w:p>
    <w:p>
      <w:r>
        <w:rPr>
          <w:sz w:val="18"/>
        </w:rPr>
        <w:t>[7]  Mordor Intelligence (2026). Breach and Attack Simulation Market — USD 1.29bn in 2026. https://www.mordorintelligence.com/industry-reports/breach-and-attack-simulation-market</w:t>
      </w:r>
    </w:p>
    <w:p>
      <w:r>
        <w:rPr>
          <w:sz w:val="18"/>
        </w:rPr>
        <w:t>[8]  National Payments Corporation of India, reported by ANI (June 2026). UPI hits new high in May 2026 with 23.2bn transactions worth ₹29.9tn. https://www.aninews.in/news/business/upi-hits-new-high-in-may-2026-with-232-billion-transactions-worth-rs-299-trillion-npci-data-shows20260602155337/</w:t>
      </w:r>
    </w:p>
    <w:p>
      <w:r>
        <w:rPr>
          <w:sz w:val="18"/>
        </w:rPr>
        <w:t>[9]  Ministry of Home Affairs / Indian Cyber Crime Coordination Centre, reported by ScamWatch HQ (2026). Indians lost an estimated ₹22,495 crore to cyber fraud in 2025. https://scamwatchhq.com/india-scams-2026-digital-arrest-upi-fraud-epidemic/</w:t>
      </w:r>
    </w:p>
    <w:p>
      <w:r>
        <w:rPr>
          <w:sz w:val="18"/>
        </w:rPr>
        <w:t>[10]  Government of India data placed before Parliament, reported by The420.in (2026). UPI fraud of ₹805 crore across 10.64 lakh incidents to November FY26; ₹981 crore across 12.64 lakh cases in FY25. https://the420.in/india-upi-fraud-data-fy26-parliament-digital-payments/</w:t>
      </w:r>
    </w:p>
    <w:p>
      <w:r>
        <w:rPr>
          <w:sz w:val="18"/>
        </w:rPr>
        <w:t>[11]  arXiv:2607.21824 (2026). Protocol-Level Attacks on Agentic Commerce Platforms — root-cause classes RC-1 to RC-5, which this corpus adopts and extends. https://arxiv.org/abs/2607.21824</w:t>
      </w:r>
    </w:p>
    <w:p>
      <w:r>
        <w:rPr>
          <w:sz w:val="18"/>
        </w:rPr>
        <w:t>[12]  J. P. Anderson (1972). Computer Security Technology Planning Study — the reference monitor: tamper-proof, always invoked, small enough to analyse. https://csrc.nist.gov/csrc/media/publications/conference-paper/1998/10/08/proceedings-of-the-21st-nissc-1998/documents/early-cs-papers/ande72.pdf</w:t>
      </w:r>
    </w:p>
    <w:p>
      <w:r>
        <w:rPr>
          <w:sz w:val="18"/>
        </w:rPr>
        <w:t>[13]  J. H. Saltzer and M. D. Schroeder (1975). The Protection of Information in Computer Systems — complete mediation, which is why the ledger refuses unmediated settlement. https://www.cs.virginia.edu/~evans/cs551/saltzer/</w:t>
      </w:r>
    </w:p>
    <w:p>
      <w:r>
        <w:rPr>
          <w:sz w:val="18"/>
        </w:rPr>
        <w:t>[14]  W3C (2022). Verifiable Credentials Data Model — the credential format AP2 carries its mandates in. https://www.w3.org/TR/vc-data-model/</w:t>
      </w:r>
    </w:p>
    <w:p>
      <w:r>
        <w:rPr>
          <w:sz w:val="18"/>
        </w:rPr>
        <w:t>[15]  G. Ke et al., NeurIPS (2017). LightGBM: A Highly Efficient Gradient Boosting Decision Tree — the learned tier. https://papers.nips.cc/paper/6907-lightgbm-a-highly-efficient-gradient-boosting-decision-tree</w:t>
      </w:r>
    </w:p>
    <w:p>
      <w:r>
        <w:rPr>
          <w:sz w:val="18"/>
        </w:rPr>
        <w:t>[16]  T. Fawcett, Pattern Recognition Letters (2006). An introduction to ROC analysis — the AUC convention used here, ties counted as half a win. https://doi.org/10.1016/j.patrec.2005.10.010</w:t>
      </w:r>
    </w:p>
    <w:p>
      <w:pPr>
        <w:spacing w:after="80"/>
        <w:pBdr>
          <w:bottom w:val="single" w:sz="4" w:space="1" w:color="5B6675"/>
        </w:pBdr>
      </w:pPr>
    </w:p>
    <w:p>
      <w:pPr>
        <w:jc w:val="center"/>
      </w:pPr>
      <w:r>
        <w:rPr>
          <w:i/>
          <w:color w:val="5B6675"/>
          <w:sz w:val="18"/>
        </w:rPr>
        <w:t>Generated by `python -m praman walkthrough`. Every quantity was read from the repository's committed results at build time, and every figure was drawn from them; a test in the suite fails if either stops being true.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1118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02B3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18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118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