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MA TRẬN ĐỀ KIỂM TRA GIỮA HỌC KỲ I — NĂM HỌC 2025–2026</w:t>
      </w:r>
    </w:p>
    <w:p>
      <w:pPr>
        <w:jc w:val="center"/>
      </w:pPr>
      <w:r>
        <w:rPr>
          <w:sz w:val="22"/>
        </w:rPr>
        <w:t>Môn: TOÁN — Lớp 12 — Thời gian: 90 phút (không kể phát đề)</w:t>
      </w:r>
    </w:p>
    <w:p/>
    <w:p>
      <w:pPr>
        <w:jc w:val="center"/>
      </w:pPr>
      <w:r>
        <w:rPr>
          <w:b/>
          <w:sz w:val="22"/>
        </w:rPr>
        <w:t>BẢNG 1: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STT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Chủ đề / Nội dung</w:t>
            </w:r>
          </w:p>
        </w:tc>
        <w:tc>
          <w:tcPr>
            <w:tcW w:type="dxa" w:w="3027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TN</w:t>
            </w:r>
          </w:p>
        </w:tc>
        <w:tc>
          <w:tcPr>
            <w:tcW w:type="dxa" w:w="3027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DS</w:t>
            </w:r>
          </w:p>
        </w:tc>
        <w:tc>
          <w:tcPr>
            <w:tcW w:type="dxa" w:w="3027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TLN</w:t>
            </w:r>
          </w:p>
        </w:tc>
        <w:tc>
          <w:tcPr>
            <w:tcW w:type="dxa" w:w="3027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TL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Tổng</w:t>
            </w:r>
          </w:p>
        </w:tc>
      </w:tr>
      <w:tr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NB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TH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VD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NB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TH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VD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NB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TH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VD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NB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TH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VD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Ứng dụng đạo hàm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Nguyên hàm – Tích phân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</w:tr>
      <w:tr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Tổng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00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</w:tr>
    </w:tbl>
    <w:p/>
    <w:p>
      <w:pPr>
        <w:jc w:val="center"/>
      </w:pPr>
      <w:r>
        <w:rPr>
          <w:b/>
          <w:sz w:val="22"/>
        </w:rPr>
        <w:t>BẢNG 2: BẢN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rFonts w:ascii="Times New Roman" w:hAnsi="Times New Roman"/>
                <w:b/>
                <w:sz w:val="20"/>
              </w:rPr>
              <w:t>STT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b/>
                <w:sz w:val="20"/>
              </w:rPr>
              <w:t>Nội dung kiến thức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b/>
                <w:sz w:val="20"/>
              </w:rPr>
              <w:t>Dạng câu hỏi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b/>
                <w:sz w:val="20"/>
              </w:rPr>
              <w:t>Câu hỏi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b/>
                <w:sz w:val="20"/>
              </w:rPr>
              <w:t>Yêu cầu cần đạt</w:t>
            </w:r>
          </w:p>
        </w:tc>
      </w:tr>
      <w:tr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Ứng dụng đạo hàm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NB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TN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1,2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Tìm khoảng đơn điệu của hàm số</w:t>
            </w:r>
          </w:p>
        </w:tc>
      </w:tr>
      <w:tr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TH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TN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Tìm GTLN, GTNN trên đoạn</w:t>
            </w:r>
          </w:p>
        </w:tc>
      </w:tr>
      <w:tr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VD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TLN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Giải bài toán tiếp tuyến</w:t>
            </w:r>
          </w:p>
        </w:tc>
      </w:tr>
      <w:tr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Nguyên hàm – Tích phân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NB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TN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Tìm nguyên hàm cơ bản</w:t>
            </w:r>
          </w:p>
        </w:tc>
      </w:tr>
      <w:tr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TH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DS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Tính tích phân xác định</w:t>
            </w:r>
          </w:p>
        </w:tc>
      </w:tr>
      <w:tr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VD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TL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523"/>
          </w:tcPr>
          <w:p>
            <w:r>
              <w:rPr>
                <w:rFonts w:ascii="Times New Roman" w:hAnsi="Times New Roman"/>
                <w:sz w:val="20"/>
              </w:rPr>
              <w:t>Ứng dụng tích phân tính diện tích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