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88" w:rsidRPr="009124C3" w:rsidRDefault="003468DD" w:rsidP="007D2DAD">
      <w:pPr>
        <w:spacing w:line="240" w:lineRule="auto"/>
        <w:rPr>
          <w:b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323A88" w:rsidRPr="009124C3">
        <w:rPr>
          <w:b/>
        </w:rPr>
        <w:tab/>
      </w:r>
      <w:r w:rsidR="007D2DAD">
        <w:rPr>
          <w:b/>
        </w:rPr>
        <w:tab/>
      </w:r>
      <w:r w:rsidR="007D2DAD">
        <w:rPr>
          <w:b/>
        </w:rPr>
        <w:tab/>
      </w:r>
      <w:r w:rsidR="00323A88" w:rsidRPr="009124C3">
        <w:rPr>
          <w:b/>
        </w:rPr>
        <w:t>Диаграмма Вирта</w:t>
      </w:r>
    </w:p>
    <w:p w:rsidR="00323A88" w:rsidRDefault="00D63EB7" w:rsidP="00471A98">
      <w:pPr>
        <w:spacing w:line="240" w:lineRule="auto"/>
      </w:pPr>
      <w:r>
        <w:tab/>
        <w:t>На</w:t>
      </w:r>
      <w:r w:rsidR="00323A88">
        <w:t>ряду с текстовыми способами описания языков, используют графические метаязыки. Наиболее известный это язык диаграмм Вирта, в котором метасимволы заменены графическими обозначениями.</w:t>
      </w:r>
    </w:p>
    <w:p w:rsidR="00323A88" w:rsidRDefault="005E2925" w:rsidP="00471A98">
      <w:pPr>
        <w:spacing w:line="240" w:lineRule="auto"/>
      </w:pPr>
      <w:r>
        <w:pict>
          <v:oval id="_x0000_s1167" style="width:29.25pt;height:31.5pt;mso-left-percent:-10001;mso-top-percent:-10001;mso-position-horizontal:absolute;mso-position-horizontal-relative:char;mso-position-vertical:absolute;mso-position-vertical-relative:line;mso-left-percent:-10001;mso-top-percent:-10001" wrapcoords="6646 0 3877 1029 -554 6171 -554 10800 0 16457 6092 21086 6646 21086 14400 21086 14954 21086 21046 16457 22154 6686 17169 1029 14400 0 6646 0">
            <v:textbox>
              <w:txbxContent>
                <w:p w:rsidR="008D284B" w:rsidRDefault="008D284B" w:rsidP="009F5E55">
                  <w:pPr>
                    <w:jc w:val="center"/>
                  </w:pPr>
                  <w:r>
                    <w:t>А</w:t>
                  </w:r>
                </w:p>
              </w:txbxContent>
            </v:textbox>
            <w10:wrap type="none"/>
            <w10:anchorlock/>
          </v:oval>
        </w:pict>
      </w:r>
      <w:r w:rsidR="00323A88">
        <w:t xml:space="preserve"> - терминалы</w:t>
      </w:r>
      <w:r w:rsidR="009F5E55">
        <w:t>.</w:t>
      </w:r>
    </w:p>
    <w:p w:rsidR="009F5E55" w:rsidRDefault="005E2925" w:rsidP="00471A98">
      <w:pPr>
        <w:spacing w:line="240" w:lineRule="auto"/>
        <w:rPr>
          <w:rStyle w:val="a6"/>
          <w:b w:val="0"/>
          <w:bCs w:val="0"/>
          <w:smallCaps w:val="0"/>
          <w:spacing w:val="0"/>
        </w:rPr>
      </w:pPr>
      <w:r w:rsidRPr="005E2925">
        <w:rPr>
          <w:rStyle w:val="a6"/>
          <w:b w:val="0"/>
          <w:bCs w:val="0"/>
          <w:smallCaps w:val="0"/>
          <w:spacing w:val="0"/>
        </w:rPr>
      </w:r>
      <w:r w:rsidR="004D4543">
        <w:rPr>
          <w:rStyle w:val="a6"/>
          <w:b w:val="0"/>
          <w:bCs w:val="0"/>
          <w:smallCaps w:val="0"/>
          <w:spacing w:val="0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66" type="#_x0000_t120" style="width:75.35pt;height:31.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8D284B" w:rsidRPr="009F5E55" w:rsidRDefault="008D284B" w:rsidP="009F5E5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begin</w:t>
                  </w:r>
                </w:p>
              </w:txbxContent>
            </v:textbox>
            <w10:wrap type="none"/>
            <w10:anchorlock/>
          </v:shape>
        </w:pict>
      </w:r>
      <w:r w:rsidR="009F5E55" w:rsidRPr="009F5E55">
        <w:rPr>
          <w:rStyle w:val="a6"/>
          <w:b w:val="0"/>
          <w:bCs w:val="0"/>
          <w:smallCaps w:val="0"/>
          <w:spacing w:val="0"/>
        </w:rPr>
        <w:t xml:space="preserve"> -</w:t>
      </w:r>
      <w:r w:rsidR="009F5E55">
        <w:rPr>
          <w:rStyle w:val="a6"/>
          <w:b w:val="0"/>
          <w:bCs w:val="0"/>
          <w:smallCaps w:val="0"/>
          <w:spacing w:val="0"/>
        </w:rPr>
        <w:t xml:space="preserve"> </w:t>
      </w:r>
      <w:r w:rsidR="0025485F">
        <w:rPr>
          <w:rStyle w:val="a6"/>
          <w:b w:val="0"/>
          <w:bCs w:val="0"/>
          <w:smallCaps w:val="0"/>
          <w:spacing w:val="0"/>
        </w:rPr>
        <w:t xml:space="preserve">постоянная </w:t>
      </w:r>
      <w:r w:rsidR="009F5E55" w:rsidRPr="009F5E55">
        <w:t>группа терминальных символов.</w:t>
      </w:r>
    </w:p>
    <w:p w:rsidR="009F5E55" w:rsidRPr="009F5E55" w:rsidRDefault="005E2925" w:rsidP="00471A98">
      <w:pPr>
        <w:spacing w:line="240" w:lineRule="auto"/>
      </w:pPr>
      <w:r w:rsidRPr="005E2925">
        <w:rPr>
          <w:rStyle w:val="a6"/>
          <w:b w:val="0"/>
          <w:bCs w:val="0"/>
          <w:smallCaps w:val="0"/>
          <w:spacing w:val="0"/>
        </w:rPr>
      </w:r>
      <w:r w:rsidRPr="005E2925">
        <w:rPr>
          <w:rStyle w:val="a6"/>
          <w:b w:val="0"/>
          <w:bCs w:val="0"/>
          <w:smallCaps w:val="0"/>
          <w:spacing w:val="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65" type="#_x0000_t109" style="width:75.65pt;height:29.2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8D284B" w:rsidRDefault="008D284B" w:rsidP="009F5E55">
                  <w:pPr>
                    <w:jc w:val="center"/>
                  </w:pPr>
                  <w:r>
                    <w:t>блок</w:t>
                  </w:r>
                </w:p>
              </w:txbxContent>
            </v:textbox>
            <w10:wrap type="none"/>
            <w10:anchorlock/>
          </v:shape>
        </w:pict>
      </w:r>
      <w:r w:rsidR="0025485F">
        <w:rPr>
          <w:rStyle w:val="a6"/>
          <w:b w:val="0"/>
          <w:bCs w:val="0"/>
          <w:smallCaps w:val="0"/>
          <w:spacing w:val="0"/>
        </w:rPr>
        <w:t xml:space="preserve"> - не</w:t>
      </w:r>
      <w:r w:rsidR="009F5E55">
        <w:rPr>
          <w:rStyle w:val="a6"/>
          <w:b w:val="0"/>
          <w:bCs w:val="0"/>
          <w:smallCaps w:val="0"/>
          <w:spacing w:val="0"/>
        </w:rPr>
        <w:t>терминальные символы, определяющие название правил.</w:t>
      </w:r>
    </w:p>
    <w:p w:rsidR="00323A88" w:rsidRDefault="005E2925" w:rsidP="0025485F">
      <w:pPr>
        <w:spacing w:line="240" w:lineRule="auto"/>
        <w:ind w:left="142"/>
        <w:rPr>
          <w:rStyle w:val="a6"/>
          <w:b w:val="0"/>
          <w:bCs w:val="0"/>
          <w:smallCaps w:val="0"/>
          <w:spacing w:val="0"/>
        </w:rPr>
      </w:pPr>
      <w:r>
        <w:rPr>
          <w:noProof/>
          <w:lang w:eastAsia="ru-RU"/>
        </w:rPr>
        <w:pict>
          <v:shape id="_x0000_s1164" style="position:absolute;left:0;text-align:left;margin-left:9.3pt;margin-top:0;width:32.7pt;height:17.45pt;z-index:251630592" coordsize="654,349" path="m654,349c551,334,448,319,407,261,366,203,475,43,407,l,e" filled="f">
            <v:path arrowok="t"/>
          </v:shape>
        </w:pict>
      </w:r>
      <w:r w:rsidRPr="005E2925">
        <w:rPr>
          <w:rStyle w:val="a6"/>
          <w:b w:val="0"/>
          <w:bCs w:val="0"/>
          <w:smallCaps w:val="0"/>
          <w:spacing w:val="0"/>
        </w:rPr>
      </w:r>
      <w:r>
        <w:rPr>
          <w:rStyle w:val="a6"/>
          <w:b w:val="0"/>
          <w:bCs w:val="0"/>
          <w:smallCaps w:val="0"/>
          <w:spacing w:val="0"/>
        </w:rPr>
        <w:pict>
          <v:group id="_x0000_s1157" style="width:98.6pt;height:30.2pt;mso-position-horizontal-relative:char;mso-position-vertical-relative:line" coordorigin="1149,6414" coordsize="1972,60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8" type="#_x0000_t32" alt="" style="position:absolute;left:1149;top:6763;width:1513;height:0" o:connectortype="straight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9" type="#_x0000_t38" style="position:absolute;left:1882;top:6763;width:780;height:255" o:connectortype="curved" adj="10800,-597176,-51923"/>
            <v:shape id="_x0000_s1160" type="#_x0000_t32" style="position:absolute;left:2656;top:7018;width:465;height:0" o:connectortype="straight"/>
            <v:shape id="_x0000_s1161" type="#_x0000_t32" style="position:absolute;left:2656;top:6763;width:465;height:0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2" type="#_x0000_t202" style="position:absolute;left:1149;top:6414;width:832;height:261;mso-wrap-distance-left:9.05pt;mso-wrap-distance-right:9.05pt" stroked="f">
              <v:fill color2="black"/>
              <v:textbox style="mso-next-textbox:#_x0000_s1162" inset="0,0,0,0">
                <w:txbxContent>
                  <w:p w:rsidR="008D284B" w:rsidRPr="0025485F" w:rsidRDefault="008D284B" w:rsidP="0025485F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  <w:r w:rsidR="009F5E55" w:rsidRPr="009F5E55">
        <w:rPr>
          <w:rStyle w:val="a6"/>
          <w:b w:val="0"/>
          <w:bCs w:val="0"/>
          <w:smallCaps w:val="0"/>
          <w:spacing w:val="0"/>
        </w:rPr>
        <w:t xml:space="preserve"> </w:t>
      </w:r>
      <w:r w:rsidR="00A8213C">
        <w:rPr>
          <w:rStyle w:val="a6"/>
          <w:b w:val="0"/>
          <w:bCs w:val="0"/>
          <w:smallCaps w:val="0"/>
          <w:spacing w:val="0"/>
        </w:rPr>
        <w:t xml:space="preserve">- </w:t>
      </w:r>
      <w:r w:rsidR="0025485F">
        <w:rPr>
          <w:rStyle w:val="a6"/>
          <w:b w:val="0"/>
          <w:bCs w:val="0"/>
          <w:smallCaps w:val="0"/>
          <w:spacing w:val="0"/>
        </w:rPr>
        <w:t xml:space="preserve">соединительные </w:t>
      </w:r>
      <w:r w:rsidR="00A8213C">
        <w:rPr>
          <w:rStyle w:val="a6"/>
          <w:b w:val="0"/>
          <w:bCs w:val="0"/>
          <w:smallCaps w:val="0"/>
          <w:spacing w:val="0"/>
        </w:rPr>
        <w:t xml:space="preserve">линии, связывающие терминалы и </w:t>
      </w:r>
      <w:proofErr w:type="spellStart"/>
      <w:r w:rsidR="00A8213C">
        <w:rPr>
          <w:rStyle w:val="a6"/>
          <w:b w:val="0"/>
          <w:bCs w:val="0"/>
          <w:smallCaps w:val="0"/>
          <w:spacing w:val="0"/>
        </w:rPr>
        <w:t>нетерминалы</w:t>
      </w:r>
      <w:proofErr w:type="spellEnd"/>
      <w:r w:rsidR="0025485F">
        <w:rPr>
          <w:rStyle w:val="a6"/>
          <w:b w:val="0"/>
          <w:bCs w:val="0"/>
          <w:smallCaps w:val="0"/>
          <w:spacing w:val="0"/>
        </w:rPr>
        <w:t xml:space="preserve"> </w:t>
      </w:r>
      <w:r w:rsidR="004D4543" w:rsidRPr="004D4543">
        <w:rPr>
          <w:rStyle w:val="a6"/>
          <w:b w:val="0"/>
          <w:bCs w:val="0"/>
          <w:smallCaps w:val="0"/>
          <w:spacing w:val="0"/>
        </w:rPr>
        <w:tab/>
      </w:r>
      <w:r w:rsidR="004D4543" w:rsidRPr="004D4543">
        <w:rPr>
          <w:rStyle w:val="a6"/>
          <w:b w:val="0"/>
          <w:bCs w:val="0"/>
          <w:smallCaps w:val="0"/>
          <w:spacing w:val="0"/>
        </w:rPr>
        <w:tab/>
      </w:r>
      <w:r w:rsidR="004D4543" w:rsidRPr="004D4543">
        <w:rPr>
          <w:rStyle w:val="a6"/>
          <w:b w:val="0"/>
          <w:bCs w:val="0"/>
          <w:smallCaps w:val="0"/>
          <w:spacing w:val="0"/>
        </w:rPr>
        <w:tab/>
      </w:r>
      <w:r w:rsidR="004D4543" w:rsidRPr="004D4543">
        <w:rPr>
          <w:rStyle w:val="a6"/>
          <w:b w:val="0"/>
          <w:bCs w:val="0"/>
          <w:smallCaps w:val="0"/>
          <w:spacing w:val="0"/>
        </w:rPr>
        <w:tab/>
      </w:r>
      <w:r w:rsidR="0025485F">
        <w:rPr>
          <w:rStyle w:val="a6"/>
          <w:b w:val="0"/>
          <w:bCs w:val="0"/>
          <w:smallCaps w:val="0"/>
          <w:spacing w:val="0"/>
        </w:rPr>
        <w:t>в правилах</w:t>
      </w:r>
      <w:r w:rsidR="00A8213C">
        <w:rPr>
          <w:rStyle w:val="a6"/>
          <w:b w:val="0"/>
          <w:bCs w:val="0"/>
          <w:smallCaps w:val="0"/>
          <w:spacing w:val="0"/>
        </w:rPr>
        <w:t>.</w:t>
      </w:r>
    </w:p>
    <w:p w:rsidR="00FE2BF5" w:rsidRDefault="005E2925" w:rsidP="00471A98">
      <w:pPr>
        <w:spacing w:line="240" w:lineRule="auto"/>
      </w:pPr>
      <w:r w:rsidRPr="005E2925">
        <w:rPr>
          <w:rStyle w:val="a6"/>
          <w:b w:val="0"/>
          <w:bCs w:val="0"/>
          <w:smallCaps w:val="0"/>
          <w:spacing w:val="0"/>
        </w:rPr>
      </w:r>
      <w:r w:rsidRPr="005E2925">
        <w:rPr>
          <w:rStyle w:val="a6"/>
          <w:b w:val="0"/>
          <w:bCs w:val="0"/>
          <w:smallCaps w:val="0"/>
          <w:spacing w:val="0"/>
        </w:rPr>
        <w:pict>
          <v:group id="_x0000_s1078" style="width:98.6pt;height:30.2pt;mso-position-horizontal-relative:char;mso-position-vertical-relative:line" coordorigin="1149,6414" coordsize="1972,604">
            <v:shape id="_x0000_s1063" type="#_x0000_t32" alt="" style="position:absolute;left:1149;top:6763;width:1513;height:0" o:connectortype="straight" o:regroupid="1"/>
            <v:shape id="_x0000_s1064" type="#_x0000_t38" style="position:absolute;left:1882;top:6763;width:780;height:255" o:connectortype="curved" o:regroupid="1" adj="10800,-597176,-51923"/>
            <v:shape id="_x0000_s1065" type="#_x0000_t32" style="position:absolute;left:2656;top:7018;width:465;height:0" o:connectortype="straight" o:regroupid="1"/>
            <v:shape id="_x0000_s1066" type="#_x0000_t32" style="position:absolute;left:2656;top:6763;width:465;height:0" o:connectortype="straight" o:regroupid="1"/>
            <v:shape id="_x0000_s1067" type="#_x0000_t202" style="position:absolute;left:1149;top:6414;width:832;height:261;mso-wrap-distance-left:9.05pt;mso-wrap-distance-right:9.05pt" o:regroupid="1" stroked="f">
              <v:fill color2="black"/>
              <v:textbox style="mso-next-textbox:#_x0000_s1067" inset="0,0,0,0">
                <w:txbxContent>
                  <w:p w:rsidR="008D284B" w:rsidRPr="00FE2BF5" w:rsidRDefault="008D284B" w:rsidP="00FE2BF5">
                    <w:pPr>
                      <w:jc w:val="center"/>
                      <w:rPr>
                        <w:rFonts w:eastAsia="Calibri" w:cs="Courier New"/>
                        <w:szCs w:val="28"/>
                      </w:rPr>
                    </w:pPr>
                    <w:r>
                      <w:rPr>
                        <w:rFonts w:cs="Courier New"/>
                        <w:szCs w:val="28"/>
                      </w:rPr>
                      <w:t>Блок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FE2BF5">
        <w:rPr>
          <w:rStyle w:val="a6"/>
          <w:b w:val="0"/>
          <w:bCs w:val="0"/>
          <w:smallCaps w:val="0"/>
          <w:spacing w:val="0"/>
        </w:rPr>
        <w:t xml:space="preserve"> - </w:t>
      </w:r>
      <w:r w:rsidR="00FE2BF5" w:rsidRPr="00FE2BF5">
        <w:t>входная дуга</w:t>
      </w:r>
      <w:r w:rsidR="00FE2BF5">
        <w:t xml:space="preserve"> с названием правила, которая определяет начало </w:t>
      </w:r>
      <w:r w:rsidR="004D4543" w:rsidRPr="004D4543">
        <w:tab/>
      </w:r>
      <w:r w:rsidR="004D4543" w:rsidRPr="004D4543">
        <w:tab/>
      </w:r>
      <w:r w:rsidR="004D4543" w:rsidRPr="004D4543">
        <w:tab/>
      </w:r>
      <w:r w:rsidR="004D4543" w:rsidRPr="004D4543">
        <w:tab/>
      </w:r>
      <w:r w:rsidR="00FE2BF5">
        <w:t>правила.</w:t>
      </w:r>
    </w:p>
    <w:p w:rsidR="00FE2BF5" w:rsidRDefault="00FE2BF5" w:rsidP="00471A98">
      <w:pPr>
        <w:spacing w:line="240" w:lineRule="auto"/>
      </w:pPr>
      <w:r>
        <w:t xml:space="preserve">Терминальные символы и их группы рисуются в окружностях или </w:t>
      </w:r>
      <w:r w:rsidR="0025485F">
        <w:t>прямоугольниках со скругленными вертикальными сторонами</w:t>
      </w:r>
      <w:r>
        <w:t>. Нетерминалы заносятся внутрь прямоугольников. Каждый графический символ соответствующий терминалу или нетерминалу имеет по одному входу или одному выходу.</w:t>
      </w:r>
    </w:p>
    <w:p w:rsidR="003B02EF" w:rsidRDefault="00FE2BF5" w:rsidP="00471A98">
      <w:pPr>
        <w:spacing w:line="240" w:lineRule="auto"/>
      </w:pPr>
      <w:r>
        <w:t>Каждому правило соответствует своя графическая диаграмма, на которой терминалы и нетерминалы соединяются с помощью дуг. Альтернативы в правилах задаются ветвлениями дуг, а итерации – слияниями дуг</w:t>
      </w:r>
      <w:r w:rsidR="003B02EF">
        <w:t>. В начале диаграммы всегда имеется название правила.</w:t>
      </w:r>
    </w:p>
    <w:p w:rsidR="003B02EF" w:rsidRPr="003B02EF" w:rsidRDefault="003B02EF" w:rsidP="00471A98">
      <w:pPr>
        <w:spacing w:line="240" w:lineRule="auto"/>
      </w:pPr>
      <w:r>
        <w:t>Описание идентификатор</w:t>
      </w:r>
      <w:r w:rsidR="00830805">
        <w:t>а</w:t>
      </w:r>
      <w:r>
        <w:t xml:space="preserve"> с помощью диаграмм Вирта</w:t>
      </w:r>
      <w:r w:rsidRPr="003B02EF">
        <w:t>:</w:t>
      </w:r>
    </w:p>
    <w:p w:rsidR="003B02EF" w:rsidRPr="003B02EF" w:rsidRDefault="003B02EF" w:rsidP="00471A98">
      <w:pPr>
        <w:spacing w:line="240" w:lineRule="auto"/>
        <w:rPr>
          <w:rStyle w:val="a6"/>
          <w:b w:val="0"/>
          <w:bCs w:val="0"/>
          <w:smallCaps w:val="0"/>
          <w:spacing w:val="0"/>
        </w:rPr>
      </w:pPr>
      <w:r>
        <w:rPr>
          <w:noProof/>
          <w:lang w:eastAsia="ru-RU"/>
        </w:rPr>
        <w:drawing>
          <wp:inline distT="0" distB="0" distL="0" distR="0">
            <wp:extent cx="6096000" cy="95250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3C" w:rsidRDefault="003B02EF" w:rsidP="00471A98">
      <w:pPr>
        <w:spacing w:line="240" w:lineRule="auto"/>
        <w:rPr>
          <w:rStyle w:val="a6"/>
          <w:b w:val="0"/>
          <w:bCs w:val="0"/>
          <w:smallCaps w:val="0"/>
          <w:spacing w:val="0"/>
        </w:rPr>
      </w:pPr>
      <w:r>
        <w:rPr>
          <w:noProof/>
          <w:lang w:eastAsia="ru-RU"/>
        </w:rPr>
        <w:drawing>
          <wp:inline distT="0" distB="0" distL="0" distR="0">
            <wp:extent cx="6096000" cy="11811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2EF" w:rsidRDefault="003B02EF" w:rsidP="00471A98">
      <w:pPr>
        <w:spacing w:line="240" w:lineRule="auto"/>
        <w:rPr>
          <w:rStyle w:val="a6"/>
          <w:b w:val="0"/>
          <w:bCs w:val="0"/>
          <w:smallCaps w:val="0"/>
          <w:spacing w:val="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96000" cy="359092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805" w:rsidRDefault="00830805" w:rsidP="00471A98">
      <w:pPr>
        <w:spacing w:line="240" w:lineRule="auto"/>
        <w:rPr>
          <w:rStyle w:val="a6"/>
          <w:b w:val="0"/>
          <w:bCs w:val="0"/>
          <w:smallCaps w:val="0"/>
          <w:spacing w:val="0"/>
        </w:rPr>
      </w:pPr>
      <w:r>
        <w:rPr>
          <w:rStyle w:val="a6"/>
          <w:b w:val="0"/>
          <w:bCs w:val="0"/>
          <w:smallCaps w:val="0"/>
          <w:spacing w:val="0"/>
        </w:rPr>
        <w:t>Стрелки в диаграммах Вирта не рисуются. Специальных стандартов нет и они могут меняться в зависимости от средств рисования. Диаграммы Вирта удобны для рисования лексического и синтаксического анализатора, а также для расширенных форм Бэкуса-Наура (РБНФ).</w:t>
      </w:r>
    </w:p>
    <w:p w:rsidR="00830805" w:rsidRDefault="00830805" w:rsidP="00471A98">
      <w:pPr>
        <w:spacing w:line="240" w:lineRule="auto"/>
        <w:rPr>
          <w:rStyle w:val="a6"/>
          <w:b w:val="0"/>
          <w:bCs w:val="0"/>
          <w:smallCaps w:val="0"/>
          <w:spacing w:val="0"/>
        </w:rPr>
      </w:pPr>
    </w:p>
    <w:sectPr w:rsidR="00830805" w:rsidSect="00B54DFC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32957"/>
    <w:multiLevelType w:val="hybridMultilevel"/>
    <w:tmpl w:val="0590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50484"/>
    <w:multiLevelType w:val="hybridMultilevel"/>
    <w:tmpl w:val="60A2B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A1122"/>
    <w:multiLevelType w:val="hybridMultilevel"/>
    <w:tmpl w:val="65E47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F3A80"/>
    <w:multiLevelType w:val="hybridMultilevel"/>
    <w:tmpl w:val="61C67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D74E1"/>
    <w:multiLevelType w:val="hybridMultilevel"/>
    <w:tmpl w:val="869C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C747AC"/>
    <w:multiLevelType w:val="hybridMultilevel"/>
    <w:tmpl w:val="61C67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A5260"/>
    <w:multiLevelType w:val="hybridMultilevel"/>
    <w:tmpl w:val="69623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2099A"/>
    <w:multiLevelType w:val="hybridMultilevel"/>
    <w:tmpl w:val="C9986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B75CB"/>
    <w:multiLevelType w:val="hybridMultilevel"/>
    <w:tmpl w:val="0590C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drawingGridHorizontalSpacing w:val="140"/>
  <w:displayHorizontalDrawingGridEvery w:val="2"/>
  <w:characterSpacingControl w:val="doNotCompress"/>
  <w:compat/>
  <w:rsids>
    <w:rsidRoot w:val="00D435F7"/>
    <w:rsid w:val="0001558B"/>
    <w:rsid w:val="0002490E"/>
    <w:rsid w:val="00032F0F"/>
    <w:rsid w:val="000824C0"/>
    <w:rsid w:val="000C1A53"/>
    <w:rsid w:val="000D14AC"/>
    <w:rsid w:val="000F07EA"/>
    <w:rsid w:val="00101B7B"/>
    <w:rsid w:val="00104073"/>
    <w:rsid w:val="00141BEA"/>
    <w:rsid w:val="0015764C"/>
    <w:rsid w:val="001600F5"/>
    <w:rsid w:val="001C08BB"/>
    <w:rsid w:val="001D2D84"/>
    <w:rsid w:val="001D7906"/>
    <w:rsid w:val="001E7D61"/>
    <w:rsid w:val="00207188"/>
    <w:rsid w:val="00226CF7"/>
    <w:rsid w:val="00244394"/>
    <w:rsid w:val="0025485F"/>
    <w:rsid w:val="002A5B2C"/>
    <w:rsid w:val="002B2E85"/>
    <w:rsid w:val="002B5955"/>
    <w:rsid w:val="002D0F41"/>
    <w:rsid w:val="002D6622"/>
    <w:rsid w:val="00311406"/>
    <w:rsid w:val="00323A88"/>
    <w:rsid w:val="0032695D"/>
    <w:rsid w:val="00333877"/>
    <w:rsid w:val="003468DD"/>
    <w:rsid w:val="003508E3"/>
    <w:rsid w:val="003558BA"/>
    <w:rsid w:val="003821F5"/>
    <w:rsid w:val="00391F15"/>
    <w:rsid w:val="003B02EF"/>
    <w:rsid w:val="003B1FA7"/>
    <w:rsid w:val="003C492C"/>
    <w:rsid w:val="003D384E"/>
    <w:rsid w:val="003D49BF"/>
    <w:rsid w:val="003F6111"/>
    <w:rsid w:val="00416DDA"/>
    <w:rsid w:val="00471A98"/>
    <w:rsid w:val="0047258D"/>
    <w:rsid w:val="00494D16"/>
    <w:rsid w:val="004A51C2"/>
    <w:rsid w:val="004B1287"/>
    <w:rsid w:val="004D4543"/>
    <w:rsid w:val="004D4AE8"/>
    <w:rsid w:val="004D675B"/>
    <w:rsid w:val="004F2851"/>
    <w:rsid w:val="00505444"/>
    <w:rsid w:val="00525C13"/>
    <w:rsid w:val="00530FAF"/>
    <w:rsid w:val="00555E5F"/>
    <w:rsid w:val="0058366F"/>
    <w:rsid w:val="005D0F6A"/>
    <w:rsid w:val="005D372F"/>
    <w:rsid w:val="005E2925"/>
    <w:rsid w:val="0064335B"/>
    <w:rsid w:val="00647E38"/>
    <w:rsid w:val="00697E46"/>
    <w:rsid w:val="006A5B08"/>
    <w:rsid w:val="006B25BB"/>
    <w:rsid w:val="006B4AC0"/>
    <w:rsid w:val="00714B93"/>
    <w:rsid w:val="007308F5"/>
    <w:rsid w:val="00732E9B"/>
    <w:rsid w:val="00734037"/>
    <w:rsid w:val="0075621F"/>
    <w:rsid w:val="00760BF6"/>
    <w:rsid w:val="007714CE"/>
    <w:rsid w:val="0079014C"/>
    <w:rsid w:val="00793009"/>
    <w:rsid w:val="00795F2A"/>
    <w:rsid w:val="007A14CF"/>
    <w:rsid w:val="007B3D49"/>
    <w:rsid w:val="007D2DAD"/>
    <w:rsid w:val="007D7029"/>
    <w:rsid w:val="007E04AD"/>
    <w:rsid w:val="007E5E9C"/>
    <w:rsid w:val="007E76CC"/>
    <w:rsid w:val="0080683F"/>
    <w:rsid w:val="008120E6"/>
    <w:rsid w:val="00817CED"/>
    <w:rsid w:val="00830805"/>
    <w:rsid w:val="00840F05"/>
    <w:rsid w:val="00844007"/>
    <w:rsid w:val="00861E82"/>
    <w:rsid w:val="00862C6A"/>
    <w:rsid w:val="0086674A"/>
    <w:rsid w:val="008771AF"/>
    <w:rsid w:val="008801E7"/>
    <w:rsid w:val="0088757A"/>
    <w:rsid w:val="008B11EB"/>
    <w:rsid w:val="008B5B93"/>
    <w:rsid w:val="008D0C94"/>
    <w:rsid w:val="008D284B"/>
    <w:rsid w:val="008D673F"/>
    <w:rsid w:val="008F01BB"/>
    <w:rsid w:val="008F0380"/>
    <w:rsid w:val="00904FE4"/>
    <w:rsid w:val="009124C3"/>
    <w:rsid w:val="00930780"/>
    <w:rsid w:val="0095748C"/>
    <w:rsid w:val="00964886"/>
    <w:rsid w:val="00967A38"/>
    <w:rsid w:val="00973112"/>
    <w:rsid w:val="00980EB7"/>
    <w:rsid w:val="00991946"/>
    <w:rsid w:val="00992A9C"/>
    <w:rsid w:val="009B5742"/>
    <w:rsid w:val="009F36D1"/>
    <w:rsid w:val="009F5E55"/>
    <w:rsid w:val="00A0084D"/>
    <w:rsid w:val="00A058A0"/>
    <w:rsid w:val="00A1691F"/>
    <w:rsid w:val="00A41619"/>
    <w:rsid w:val="00A60FF1"/>
    <w:rsid w:val="00A6528B"/>
    <w:rsid w:val="00A657D5"/>
    <w:rsid w:val="00A8213C"/>
    <w:rsid w:val="00AB350C"/>
    <w:rsid w:val="00AB7196"/>
    <w:rsid w:val="00B32B2A"/>
    <w:rsid w:val="00B54DFC"/>
    <w:rsid w:val="00B74029"/>
    <w:rsid w:val="00BC4E25"/>
    <w:rsid w:val="00BE1E5F"/>
    <w:rsid w:val="00C30F65"/>
    <w:rsid w:val="00C637E9"/>
    <w:rsid w:val="00CC337B"/>
    <w:rsid w:val="00CC4206"/>
    <w:rsid w:val="00CC60A6"/>
    <w:rsid w:val="00CD7733"/>
    <w:rsid w:val="00CE21A4"/>
    <w:rsid w:val="00D02493"/>
    <w:rsid w:val="00D1766C"/>
    <w:rsid w:val="00D435F7"/>
    <w:rsid w:val="00D52AC5"/>
    <w:rsid w:val="00D556FE"/>
    <w:rsid w:val="00D56243"/>
    <w:rsid w:val="00D63EB7"/>
    <w:rsid w:val="00D8196C"/>
    <w:rsid w:val="00DC0B0B"/>
    <w:rsid w:val="00DC6014"/>
    <w:rsid w:val="00DD0F17"/>
    <w:rsid w:val="00DE1B8A"/>
    <w:rsid w:val="00DE3EE4"/>
    <w:rsid w:val="00DF0FE7"/>
    <w:rsid w:val="00E11725"/>
    <w:rsid w:val="00E239F2"/>
    <w:rsid w:val="00E46711"/>
    <w:rsid w:val="00E62A7C"/>
    <w:rsid w:val="00E7153B"/>
    <w:rsid w:val="00E7249D"/>
    <w:rsid w:val="00E73CF7"/>
    <w:rsid w:val="00E84822"/>
    <w:rsid w:val="00E902AB"/>
    <w:rsid w:val="00E9540E"/>
    <w:rsid w:val="00EA1172"/>
    <w:rsid w:val="00EA4B15"/>
    <w:rsid w:val="00EB3840"/>
    <w:rsid w:val="00EC0802"/>
    <w:rsid w:val="00ED3F5E"/>
    <w:rsid w:val="00EE519E"/>
    <w:rsid w:val="00F058A8"/>
    <w:rsid w:val="00F152AB"/>
    <w:rsid w:val="00F20610"/>
    <w:rsid w:val="00F36C29"/>
    <w:rsid w:val="00F42FDC"/>
    <w:rsid w:val="00F760F6"/>
    <w:rsid w:val="00FE2BF5"/>
    <w:rsid w:val="00FF4815"/>
    <w:rsid w:val="00FF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  <o:rules v:ext="edit">
        <o:r id="V:Rule9" type="connector" idref="#_x0000_s1063"/>
        <o:r id="V:Rule10" type="connector" idref="#_x0000_s1064"/>
        <o:r id="V:Rule11" type="connector" idref="#_x0000_s1158"/>
        <o:r id="V:Rule12" type="connector" idref="#_x0000_s1159"/>
        <o:r id="V:Rule13" type="connector" idref="#_x0000_s1066"/>
        <o:r id="V:Rule14" type="connector" idref="#_x0000_s1161"/>
        <o:r id="V:Rule15" type="connector" idref="#_x0000_s1160"/>
        <o:r id="V:Rule16" type="connector" idref="#_x0000_s1065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5F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3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3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3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3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D435F7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D435F7"/>
    <w:rPr>
      <w:i/>
      <w:iCs/>
      <w:color w:val="808080" w:themeColor="text1" w:themeTint="7F"/>
    </w:rPr>
  </w:style>
  <w:style w:type="paragraph" w:styleId="a5">
    <w:name w:val="List Paragraph"/>
    <w:basedOn w:val="a"/>
    <w:uiPriority w:val="34"/>
    <w:qFormat/>
    <w:rsid w:val="00D435F7"/>
    <w:pPr>
      <w:ind w:left="720"/>
      <w:contextualSpacing/>
    </w:pPr>
  </w:style>
  <w:style w:type="character" w:styleId="a6">
    <w:name w:val="Book Title"/>
    <w:basedOn w:val="a0"/>
    <w:uiPriority w:val="33"/>
    <w:qFormat/>
    <w:rsid w:val="00D435F7"/>
    <w:rPr>
      <w:b/>
      <w:bCs/>
      <w:smallCaps/>
      <w:spacing w:val="5"/>
    </w:rPr>
  </w:style>
  <w:style w:type="paragraph" w:styleId="a7">
    <w:name w:val="Intense Quote"/>
    <w:basedOn w:val="a"/>
    <w:next w:val="a"/>
    <w:link w:val="a8"/>
    <w:uiPriority w:val="30"/>
    <w:qFormat/>
    <w:rsid w:val="00D435F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D435F7"/>
    <w:rPr>
      <w:b/>
      <w:bCs/>
      <w:i/>
      <w:iCs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sid w:val="00D435F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435F7"/>
    <w:rPr>
      <w:i/>
      <w:iCs/>
      <w:color w:val="000000" w:themeColor="text1"/>
    </w:rPr>
  </w:style>
  <w:style w:type="paragraph" w:styleId="a9">
    <w:name w:val="Balloon Text"/>
    <w:basedOn w:val="a"/>
    <w:link w:val="aa"/>
    <w:uiPriority w:val="99"/>
    <w:semiHidden/>
    <w:unhideWhenUsed/>
    <w:rsid w:val="00A8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213C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E467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laceholder Text"/>
    <w:basedOn w:val="a0"/>
    <w:uiPriority w:val="99"/>
    <w:semiHidden/>
    <w:rsid w:val="00471A98"/>
    <w:rPr>
      <w:color w:val="808080"/>
    </w:rPr>
  </w:style>
  <w:style w:type="table" w:customStyle="1" w:styleId="11">
    <w:name w:val="Светлая заливка1"/>
    <w:basedOn w:val="a1"/>
    <w:uiPriority w:val="60"/>
    <w:rsid w:val="00B740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B740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B740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93E34-2C10-4EB5-BF1B-3FD07B6A4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29</cp:revision>
  <cp:lastPrinted>2013-02-22T07:44:00Z</cp:lastPrinted>
  <dcterms:created xsi:type="dcterms:W3CDTF">2012-03-30T16:58:00Z</dcterms:created>
  <dcterms:modified xsi:type="dcterms:W3CDTF">2020-02-11T14:45:00Z</dcterms:modified>
</cp:coreProperties>
</file>