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Ata de Reunião - 21/02/22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Duração:</w:t>
      </w:r>
      <w:r w:rsidDel="00000000" w:rsidR="00000000" w:rsidRPr="00000000">
        <w:rPr>
          <w:rtl w:val="0"/>
        </w:rPr>
        <w:t xml:space="preserve"> 21:00 -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Presentes:</w:t>
      </w:r>
      <w:r w:rsidDel="00000000" w:rsidR="00000000" w:rsidRPr="00000000">
        <w:rPr>
          <w:rtl w:val="0"/>
        </w:rPr>
        <w:t xml:space="preserve"> Ernando da Silva, Julie Delchova Rabelo, Adriana Aguiar de Sousa, Mateus de Avila, Bruno Henrique, Bruno Pablo, Daniel Eliezer, Gustavo Nogueira, Luan Otoniel, Lucas Hideo, Wanderson Silva, Wellington Diego, Gabriel Mendanha.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Objetivos:</w:t>
      </w:r>
      <w:r w:rsidDel="00000000" w:rsidR="00000000" w:rsidRPr="00000000">
        <w:rPr>
          <w:rtl w:val="0"/>
        </w:rPr>
        <w:t xml:space="preserv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Apresentação das equipes : Integração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O que foi decidido na reunião: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As equipes teriam maior liberdade para desenvolvimento do projeto de forma independente, visto que no PC2 o desenvolvimento é das áreas individuais.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