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조각난 마도서 — 작업 노트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폴더 구조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01_설정집</w:t>
      </w:r>
      <w:r>
        <w:rPr>
          <w:rFonts w:ascii="맑은 고딕" w:hAnsi="맑은 고딕" w:eastAsia="맑은 고딕"/>
          <w:b w:val="0"/>
          <w:i w:val="0"/>
        </w:rPr>
        <w:t>: 세계관, 역사, 종족, 마법, 검술, 국가·도시, 마도서, 등장인물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02_회차구성</w:t>
      </w:r>
      <w:r>
        <w:rPr>
          <w:rFonts w:ascii="맑은 고딕" w:hAnsi="맑은 고딕" w:eastAsia="맑은 고딕"/>
          <w:b w:val="0"/>
          <w:i w:val="0"/>
        </w:rPr>
        <w:t>: 100화 전체 아크 및 회차별 로그라인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03_본문</w:t>
      </w:r>
      <w:r>
        <w:rPr>
          <w:rFonts w:ascii="맑은 고딕" w:hAnsi="맑은 고딕" w:eastAsia="맑은 고딕"/>
          <w:b w:val="0"/>
          <w:i w:val="0"/>
        </w:rPr>
        <w:t>: 각 화별 docx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파일 목록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01_설정집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00_세계관개요.docx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01_역사.docx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02_종족.docx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03_마법체계.docx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04_검술체계.docx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05_국가와도시.docx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06_마도서.docx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07_등장인물.docx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02_회차구성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100화_아크구성.docx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03_본문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01화_폐허에서.docx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02화_잿빛동행.docx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03화_첫마법과좀도둑.docx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04화_두번째페이지.docx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서식 규칙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본문</w:t>
      </w:r>
      <w:r>
        <w:rPr>
          <w:rFonts w:ascii="맑은 고딕" w:hAnsi="맑은 고딕" w:eastAsia="맑은 고딕"/>
          <w:b w:val="0"/>
          <w:i w:val="0"/>
        </w:rPr>
        <w:t>: 맑은 고딕 11pt, 줄간격 1.6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제목 1</w:t>
      </w:r>
      <w:r>
        <w:rPr>
          <w:rFonts w:ascii="맑은 고딕" w:hAnsi="맑은 고딕" w:eastAsia="맑은 고딕"/>
          <w:b w:val="0"/>
          <w:i w:val="0"/>
        </w:rPr>
        <w:t>: 20pt, 진한 남색, 가운데 정렬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제목 2</w:t>
      </w:r>
      <w:r>
        <w:rPr>
          <w:rFonts w:ascii="맑은 고딕" w:hAnsi="맑은 고딕" w:eastAsia="맑은 고딕"/>
          <w:b w:val="0"/>
          <w:i w:val="0"/>
        </w:rPr>
        <w:t>: 15pt, 짙은 청색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기울기</w:t>
      </w:r>
      <w:r>
        <w:rPr>
          <w:rFonts w:ascii="맑은 고딕" w:hAnsi="맑은 고딕" w:eastAsia="맑은 고딕"/>
          <w:b w:val="0"/>
          <w:i w:val="0"/>
        </w:rPr>
        <w:t>: 속마음, 생각, 강조된 내면 독백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굵게</w:t>
      </w:r>
      <w:r>
        <w:rPr>
          <w:rFonts w:ascii="맑은 고딕" w:hAnsi="맑은 고딕" w:eastAsia="맑은 고딕"/>
          <w:b w:val="0"/>
          <w:i w:val="0"/>
        </w:rPr>
        <w:t>: 효과음, 결정적 행동, 물리적 사건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블록 인용</w:t>
      </w:r>
      <w:r>
        <w:rPr>
          <w:rFonts w:ascii="맑은 고딕" w:hAnsi="맑은 고딕" w:eastAsia="맑은 고딕"/>
          <w:b w:val="0"/>
          <w:i w:val="0"/>
        </w:rPr>
        <w:t>: 마도서 페이지 원문, 회상 설명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구분선</w:t>
      </w:r>
      <w:r>
        <w:rPr>
          <w:rFonts w:ascii="맑은 고딕" w:hAnsi="맑은 고딕" w:eastAsia="맑은 고딕"/>
          <w:b w:val="0"/>
          <w:i w:val="0"/>
        </w:rPr>
        <w:t>: 씬 전환 표시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생성 / 재생성 방법</w:t>
      </w:r>
    </w:p>
    <w:p>
      <w:r>
        <w:rPr>
          <w:rFonts w:ascii="맑은 고딕" w:hAnsi="맑은 고딕" w:eastAsia="맑은 고딕"/>
          <w:b w:val="0"/>
          <w:i w:val="0"/>
        </w:rPr>
        <w:t>```</w:t>
      </w:r>
    </w:p>
    <w:p>
      <w:r>
        <w:rPr>
          <w:rFonts w:ascii="맑은 고딕" w:hAnsi="맑은 고딕" w:eastAsia="맑은 고딕"/>
          <w:b w:val="0"/>
          <w:i w:val="0"/>
        </w:rPr>
        <w:t>python C:\Users\ehrbs\projects\dok6n\build_docs.py</w:t>
      </w:r>
    </w:p>
    <w:p>
      <w:r>
        <w:rPr>
          <w:rFonts w:ascii="맑은 고딕" w:hAnsi="맑은 고딕" w:eastAsia="맑은 고딕"/>
          <w:b w:val="0"/>
          <w:i w:val="0"/>
        </w:rP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