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640D" w:rsidRPr="000630C0" w:rsidRDefault="000630C0" w:rsidP="000630C0">
      <w:pPr>
        <w:jc w:val="center"/>
        <w:rPr>
          <w:sz w:val="32"/>
        </w:rPr>
      </w:pPr>
      <w:r w:rsidRPr="000630C0">
        <w:rPr>
          <w:sz w:val="32"/>
        </w:rPr>
        <w:t>Politechnika Warszawska</w:t>
      </w:r>
    </w:p>
    <w:p w:rsidR="000630C0" w:rsidRPr="000630C0" w:rsidRDefault="000630C0" w:rsidP="000630C0">
      <w:pPr>
        <w:jc w:val="center"/>
        <w:rPr>
          <w:sz w:val="32"/>
        </w:rPr>
      </w:pPr>
    </w:p>
    <w:p w:rsidR="000630C0" w:rsidRPr="000630C0" w:rsidRDefault="000630C0" w:rsidP="000630C0">
      <w:pPr>
        <w:jc w:val="center"/>
        <w:rPr>
          <w:sz w:val="32"/>
        </w:rPr>
      </w:pPr>
      <w:r w:rsidRPr="000630C0">
        <w:rPr>
          <w:sz w:val="32"/>
        </w:rPr>
        <w:t>Wydział Elektroniki i Technik Informacyjnych</w:t>
      </w:r>
    </w:p>
    <w:p w:rsidR="000630C0" w:rsidRPr="000630C0" w:rsidRDefault="000630C0" w:rsidP="000630C0">
      <w:pPr>
        <w:jc w:val="center"/>
        <w:rPr>
          <w:sz w:val="32"/>
        </w:rPr>
      </w:pPr>
    </w:p>
    <w:p w:rsidR="000630C0" w:rsidRPr="000630C0" w:rsidRDefault="000630C0" w:rsidP="000630C0">
      <w:pPr>
        <w:jc w:val="center"/>
        <w:rPr>
          <w:sz w:val="32"/>
        </w:rPr>
      </w:pPr>
      <w:r w:rsidRPr="000630C0">
        <w:rPr>
          <w:sz w:val="32"/>
        </w:rPr>
        <w:t>Informatyka</w:t>
      </w:r>
    </w:p>
    <w:p w:rsidR="000630C0" w:rsidRDefault="000630C0" w:rsidP="000630C0">
      <w:pPr>
        <w:jc w:val="center"/>
      </w:pPr>
    </w:p>
    <w:p w:rsidR="000630C0" w:rsidRDefault="000630C0" w:rsidP="000630C0">
      <w:pPr>
        <w:jc w:val="center"/>
      </w:pPr>
    </w:p>
    <w:p w:rsidR="000630C0" w:rsidRDefault="000630C0" w:rsidP="000630C0">
      <w:pPr>
        <w:jc w:val="center"/>
      </w:pPr>
    </w:p>
    <w:p w:rsidR="000630C0" w:rsidRDefault="000630C0" w:rsidP="000630C0">
      <w:pPr>
        <w:jc w:val="center"/>
      </w:pPr>
    </w:p>
    <w:p w:rsidR="000630C0" w:rsidRPr="000630C0" w:rsidRDefault="000630C0" w:rsidP="000630C0">
      <w:pPr>
        <w:jc w:val="center"/>
        <w:rPr>
          <w:b/>
          <w:sz w:val="24"/>
        </w:rPr>
      </w:pPr>
      <w:r w:rsidRPr="000630C0">
        <w:rPr>
          <w:b/>
          <w:sz w:val="24"/>
        </w:rPr>
        <w:t>Projekt zaliczeniowy z przedmiotu</w:t>
      </w:r>
    </w:p>
    <w:p w:rsidR="000630C0" w:rsidRPr="000630C0" w:rsidRDefault="000630C0" w:rsidP="000630C0">
      <w:pPr>
        <w:jc w:val="center"/>
        <w:rPr>
          <w:b/>
          <w:sz w:val="24"/>
        </w:rPr>
      </w:pPr>
    </w:p>
    <w:p w:rsidR="000630C0" w:rsidRPr="000630C0" w:rsidRDefault="000630C0" w:rsidP="000630C0">
      <w:pPr>
        <w:jc w:val="center"/>
        <w:rPr>
          <w:b/>
          <w:sz w:val="24"/>
        </w:rPr>
      </w:pPr>
      <w:r w:rsidRPr="000630C0">
        <w:rPr>
          <w:b/>
          <w:sz w:val="24"/>
        </w:rPr>
        <w:t>Wspomaganie Decyzji w Warunkach Ryzyka</w:t>
      </w:r>
    </w:p>
    <w:p w:rsidR="000630C0" w:rsidRDefault="000630C0"/>
    <w:p w:rsidR="000630C0" w:rsidRDefault="000630C0"/>
    <w:p w:rsidR="000630C0" w:rsidRDefault="000630C0"/>
    <w:p w:rsidR="000630C0" w:rsidRDefault="000630C0"/>
    <w:p w:rsidR="000630C0" w:rsidRDefault="000630C0"/>
    <w:p w:rsidR="000630C0" w:rsidRDefault="000630C0"/>
    <w:p w:rsidR="000630C0" w:rsidRDefault="000630C0"/>
    <w:p w:rsidR="000630C0" w:rsidRDefault="000630C0" w:rsidP="000630C0">
      <w:pPr>
        <w:jc w:val="right"/>
      </w:pPr>
      <w:r>
        <w:t>Wykonał: Mateusz Domagała</w:t>
      </w:r>
    </w:p>
    <w:p w:rsidR="000630C0" w:rsidRDefault="000630C0" w:rsidP="000630C0">
      <w:pPr>
        <w:jc w:val="right"/>
      </w:pPr>
      <w:r>
        <w:t>Prowadzący: dr inż. Adam Artur Krzemienowski</w:t>
      </w:r>
    </w:p>
    <w:p w:rsidR="000630C0" w:rsidRDefault="000630C0"/>
    <w:p w:rsidR="000630C0" w:rsidRDefault="000630C0"/>
    <w:p w:rsidR="000630C0" w:rsidRDefault="000630C0"/>
    <w:p w:rsidR="000630C0" w:rsidRDefault="000630C0" w:rsidP="000630C0">
      <w:pPr>
        <w:jc w:val="center"/>
      </w:pPr>
      <w:r>
        <w:t>Warszawa 27.05.2016 r.</w:t>
      </w:r>
    </w:p>
    <w:p w:rsidR="000630C0" w:rsidRDefault="000630C0">
      <w:r>
        <w:br w:type="page"/>
      </w:r>
    </w:p>
    <w:p w:rsidR="000630C0" w:rsidRDefault="000C56F1" w:rsidP="000630C0">
      <w:pPr>
        <w:pStyle w:val="Akapitzlist"/>
        <w:numPr>
          <w:ilvl w:val="0"/>
          <w:numId w:val="1"/>
        </w:numPr>
      </w:pPr>
      <w:r>
        <w:lastRenderedPageBreak/>
        <w:t>Specyfikacja zadania</w:t>
      </w:r>
    </w:p>
    <w:p w:rsidR="000630C0" w:rsidRDefault="000630C0" w:rsidP="000630C0">
      <w:r>
        <w:rPr>
          <w:noProof/>
          <w:lang w:eastAsia="pl-PL"/>
        </w:rPr>
        <w:drawing>
          <wp:inline distT="0" distB="0" distL="0" distR="0">
            <wp:extent cx="5410628" cy="7791450"/>
            <wp:effectExtent l="19050" t="0" r="0" b="0"/>
            <wp:docPr id="3" name="Obraz 3" descr="C:\Users\Mateusz\Desktop\WDWR\Projekt mój\tem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teusz\Desktop\WDWR\Projekt mój\temat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183" cy="7790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6F1" w:rsidRDefault="000C56F1" w:rsidP="000630C0">
      <w:r>
        <w:t>Rys. 1 Temat projektu</w:t>
      </w:r>
    </w:p>
    <w:p w:rsidR="000630C0" w:rsidRDefault="000630C0">
      <w:r>
        <w:br w:type="page"/>
      </w:r>
    </w:p>
    <w:p w:rsidR="000630C0" w:rsidRDefault="000630C0" w:rsidP="000630C0">
      <w:pPr>
        <w:pStyle w:val="Akapitzlist"/>
        <w:numPr>
          <w:ilvl w:val="0"/>
          <w:numId w:val="1"/>
        </w:numPr>
      </w:pPr>
      <w:r>
        <w:lastRenderedPageBreak/>
        <w:t>Model</w:t>
      </w:r>
    </w:p>
    <w:p w:rsidR="000630C0" w:rsidRDefault="00321604" w:rsidP="000630C0">
      <w:pPr>
        <w:pStyle w:val="Akapitzlist"/>
        <w:numPr>
          <w:ilvl w:val="1"/>
          <w:numId w:val="1"/>
        </w:numPr>
      </w:pPr>
      <w:r>
        <w:t>Scenariusze</w:t>
      </w:r>
    </w:p>
    <w:p w:rsidR="000C56F1" w:rsidRDefault="000C56F1" w:rsidP="00321604">
      <w:pPr>
        <w:ind w:firstLine="360"/>
      </w:pPr>
      <w:r>
        <w:t xml:space="preserve">Aby umożliwić wygenerowanie kosztu i ryzyka w modelu zaimplementowanym w projekcie, zostały wygenerowane scenariusze kosztów produkcji komponentów. W zadaniu są dane wektor wartości oczekiwanych µ oraz macierz kowariancji ∑. Na ich podstawie należało wygenerować składowe wektora losowego R, opisujące koszty produkcji komponentów A i B w miesiącach </w:t>
      </w:r>
      <w:r w:rsidR="00321604">
        <w:t>M1, M2 i M3, zawężone do przedziału [20; 60].</w:t>
      </w:r>
    </w:p>
    <w:p w:rsidR="000C56F1" w:rsidRDefault="000C56F1" w:rsidP="00321604">
      <w:pPr>
        <w:ind w:firstLine="360"/>
      </w:pPr>
      <w:r>
        <w:t>Scenariusze Kosztów produkcji komponentów (zł / szt.) zostały wygenerowane</w:t>
      </w:r>
      <w:r w:rsidR="00321604">
        <w:t xml:space="preserve"> przy użyciu funkcji rtmvnorm  z pakietu tmvtnorm  </w:t>
      </w:r>
      <w:r>
        <w:t>w języku R</w:t>
      </w:r>
      <w:r w:rsidR="00321604">
        <w:t xml:space="preserve"> </w:t>
      </w:r>
      <w:r>
        <w:t xml:space="preserve">zgodnie z zadanymi parametrami w temacie projektu. </w:t>
      </w:r>
    </w:p>
    <w:p w:rsidR="000630C0" w:rsidRDefault="000630C0" w:rsidP="000630C0"/>
    <w:p w:rsidR="00321604" w:rsidRDefault="00321604" w:rsidP="00321604">
      <w:pPr>
        <w:pStyle w:val="Akapitzlist"/>
        <w:numPr>
          <w:ilvl w:val="1"/>
          <w:numId w:val="1"/>
        </w:numPr>
      </w:pPr>
      <w:r>
        <w:t>Model dla kosztu i ryzyka</w:t>
      </w:r>
    </w:p>
    <w:p w:rsidR="00321604" w:rsidRDefault="00321604" w:rsidP="00826E7A">
      <w:pPr>
        <w:ind w:firstLine="360"/>
      </w:pPr>
      <w:r>
        <w:t>Zagadnienie planowania produkcji, będące tematem projektu zostało zamodelowane w narzędziu IBM ILOG CPLEX Optimization Studio (w skrócie CPLEX) w języku Optimization Programming Language (OPL)</w:t>
      </w:r>
      <w:r w:rsidR="000A5FEA">
        <w:t xml:space="preserve">. </w:t>
      </w:r>
    </w:p>
    <w:p w:rsidR="00826E7A" w:rsidRDefault="00826E7A" w:rsidP="00826E7A">
      <w:pPr>
        <w:pStyle w:val="Akapitzlist"/>
        <w:numPr>
          <w:ilvl w:val="2"/>
          <w:numId w:val="1"/>
        </w:numPr>
      </w:pPr>
      <w:r>
        <w:t>Stałe opisujące problem</w:t>
      </w:r>
    </w:p>
    <w:p w:rsidR="00826E7A" w:rsidRDefault="00826E7A" w:rsidP="00826E7A">
      <w:r>
        <w:t>umowa[zakresKomponentow] - Realizacja umowy wymaga dostawy określonej liczby sztuk komponentu A/B</w:t>
      </w:r>
    </w:p>
    <w:p w:rsidR="00826E7A" w:rsidRDefault="00826E7A" w:rsidP="00826E7A">
      <w:r>
        <w:t>mozliweDostawyZ1[zakresMiesiecy] - Limity dostawy zasobu produkcyjnego Z1 w danym miesiącu M1/M2/M3</w:t>
      </w:r>
    </w:p>
    <w:p w:rsidR="00826E7A" w:rsidRDefault="00826E7A" w:rsidP="00826E7A">
      <w:r>
        <w:t>mozliweDostawyZ2[zakresMiesiecy] - Limity dostawy zasobu produkcyjnego Z2 w danym miesiącu M1/M2/M3</w:t>
      </w:r>
    </w:p>
    <w:p w:rsidR="00826E7A" w:rsidRDefault="00826E7A" w:rsidP="00826E7A">
      <w:r>
        <w:t>zapotrzebowanieZ1[zakresKomponentow] - Zapotrzebowanie na sztukę zasobu produkcyjnego Z1 przy produkcji komponentów A i B</w:t>
      </w:r>
    </w:p>
    <w:p w:rsidR="00826E7A" w:rsidRDefault="00826E7A" w:rsidP="00826E7A">
      <w:r>
        <w:t>zapotrzebowanieZ2[zakresKomponentow] - Zapotrzebowanie na sztukę zasobu produkcyjnego Z2 przy produkcji komponentów A i B</w:t>
      </w:r>
    </w:p>
    <w:p w:rsidR="00826E7A" w:rsidRDefault="00826E7A" w:rsidP="00826E7A">
      <w:r>
        <w:t>kosztProdukcji[zakresScenariuszy][zakresZmiennych] - Mcierz wygenerowanych scenariuszy kosztów produkcji</w:t>
      </w:r>
    </w:p>
    <w:p w:rsidR="00826E7A" w:rsidRDefault="00826E7A" w:rsidP="00826E7A">
      <w:pPr>
        <w:pStyle w:val="Akapitzlist"/>
        <w:numPr>
          <w:ilvl w:val="2"/>
          <w:numId w:val="1"/>
        </w:numPr>
      </w:pPr>
      <w:r>
        <w:t>Zmienne opisujące problem</w:t>
      </w:r>
    </w:p>
    <w:p w:rsidR="00826E7A" w:rsidRDefault="00826E7A" w:rsidP="00826E7A">
      <w:r>
        <w:t>produkcjaKomp[zakresKomponentow][zakresMiesiecy] - liczba sztuk wyprodukowanego elementu A/B w danym miesiącu M1/M2/M3</w:t>
      </w:r>
    </w:p>
    <w:p w:rsidR="00826E7A" w:rsidRDefault="00826E7A" w:rsidP="00826E7A">
      <w:r>
        <w:t>magazyn[zakresMiesiecy] - stan magazynu</w:t>
      </w:r>
    </w:p>
    <w:p w:rsidR="00826E7A" w:rsidRDefault="00826E7A" w:rsidP="00826E7A">
      <w:r>
        <w:t>prodPowyzej100[zakresMiesiecy] - zmienna binarna oznaczająca przekroczenie produkcji w wysokości 100 sztuk miesiecznie dla wszystkich komponentow</w:t>
      </w:r>
    </w:p>
    <w:p w:rsidR="00826E7A" w:rsidRDefault="00826E7A" w:rsidP="00826E7A">
      <w:r>
        <w:lastRenderedPageBreak/>
        <w:t>prodPowyzej100Komp[zakresKomponentow][zakresMiesiecy] - zmienna binarna oznaczająca przekroczenie produkcji w wysokości 100 sztuk miesiecznie dla jednego komponentu</w:t>
      </w:r>
    </w:p>
    <w:p w:rsidR="00826E7A" w:rsidRDefault="00826E7A" w:rsidP="00826E7A">
      <w:r>
        <w:t>uzycieZ1[zakresKomponentow][zakresMiesiecy] - ilość użytego zasobu produkcyjnego Z1 na wytworzenie komponentu A/B w danym miesiącu M1/M2/M3</w:t>
      </w:r>
    </w:p>
    <w:p w:rsidR="00826E7A" w:rsidRDefault="00826E7A" w:rsidP="00826E7A">
      <w:r>
        <w:t>uzycieZ2[zakresKomponentow][zakresMiesiecy] - ilość użytego zasobu produkcyjnego Z2 na wytworzenie komponentu A/B w danym miesiącu M1/M2/M3</w:t>
      </w:r>
    </w:p>
    <w:p w:rsidR="002218AE" w:rsidRDefault="002218AE" w:rsidP="002218AE">
      <w:pPr>
        <w:pStyle w:val="Akapitzlist"/>
        <w:numPr>
          <w:ilvl w:val="2"/>
          <w:numId w:val="1"/>
        </w:numPr>
      </w:pPr>
      <w:r>
        <w:t>Zmienne stanu – wyrażenia decyzji</w:t>
      </w:r>
    </w:p>
    <w:p w:rsidR="002218AE" w:rsidRDefault="002218AE" w:rsidP="002218AE">
      <w:r>
        <w:t xml:space="preserve">koszt[s in zakresScenariuszy] - Koszt produkcji oraz składowania komponentów </w:t>
      </w:r>
    </w:p>
    <w:p w:rsidR="002218AE" w:rsidRDefault="002218AE" w:rsidP="002218AE">
      <w:r>
        <w:t>calkowityKosztProdukcji[s in zakresScenariuszy] - Koszt produkcji komponentów</w:t>
      </w:r>
    </w:p>
    <w:p w:rsidR="002218AE" w:rsidRDefault="002218AE" w:rsidP="002218AE">
      <w:r>
        <w:t>sredniKoszt - średni koszt - miara kosztu</w:t>
      </w:r>
    </w:p>
    <w:p w:rsidR="002218AE" w:rsidRDefault="002218AE" w:rsidP="002218AE">
      <w:r>
        <w:t>ryzyko - średnia różnica Giniego - miara ryzyka</w:t>
      </w:r>
    </w:p>
    <w:p w:rsidR="000A5FEA" w:rsidRDefault="000A5FEA" w:rsidP="000A5FEA">
      <w:pPr>
        <w:ind w:firstLine="360"/>
      </w:pPr>
      <w:r>
        <w:t>W modelowanym problemie zastosowano średnią jako miarę kosztu i średnią różnicę Giniego jako miarę ryzyka. Wystąpienie każdego ze scenariuszy kosztów produkcji potraktowano z jednakowym prawdopodobieństwem. Wartości miary kosztu i ryzyka zostały obliczone zgodnie z założeniami w projekcie i wg następujących formuł:</w:t>
      </w:r>
    </w:p>
    <w:p w:rsidR="000A5FEA" w:rsidRDefault="000A5FEA" w:rsidP="00FC6DED">
      <w:pPr>
        <w:jc w:val="center"/>
      </w:pPr>
      <m:oMathPara>
        <m:oMath>
          <m:r>
            <w:rPr>
              <w:rFonts w:ascii="Cambria Math" w:hAnsi="Cambria Math"/>
            </w:rPr>
            <m:t xml:space="preserve">sredniKoszt=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s=1</m:t>
              </m:r>
            </m:sub>
            <m:sup>
              <m:r>
                <w:rPr>
                  <w:rFonts w:ascii="Cambria Math" w:hAnsi="Cambria Math"/>
                </w:rPr>
                <m:t>S</m:t>
              </m:r>
            </m:sup>
            <m:e>
              <m:r>
                <w:rPr>
                  <w:rFonts w:ascii="Cambria Math" w:hAnsi="Cambria Math"/>
                </w:rPr>
                <m:t>koszt(s)</m:t>
              </m:r>
            </m:e>
          </m:nary>
        </m:oMath>
      </m:oMathPara>
    </w:p>
    <w:p w:rsidR="000A5FEA" w:rsidRDefault="000A5FEA" w:rsidP="000A5FEA">
      <w:pPr>
        <w:jc w:val="both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 xml:space="preserve">ryzyko=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s1=1</m:t>
              </m:r>
            </m:sub>
            <m:sup>
              <m:r>
                <w:rPr>
                  <w:rFonts w:ascii="Cambria Math" w:hAnsi="Cambria Math"/>
                </w:rPr>
                <m:t>S</m:t>
              </m:r>
            </m:sup>
            <m:e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s2=1</m:t>
                  </m:r>
                </m:sub>
                <m:sup>
                  <m:r>
                    <w:rPr>
                      <w:rFonts w:ascii="Cambria Math" w:hAnsi="Cambria Math"/>
                    </w:rPr>
                    <m:t>S</m:t>
                  </m:r>
                </m:sup>
                <m:e>
                  <m:r>
                    <w:rPr>
                      <w:rFonts w:ascii="Cambria Math" w:hAnsi="Cambria Math"/>
                    </w:rPr>
                    <m:t>|koszt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s1</m:t>
                      </m:r>
                    </m:e>
                  </m:d>
                  <m:r>
                    <w:rPr>
                      <w:rFonts w:ascii="Cambria Math" w:hAnsi="Cambria Math"/>
                    </w:rPr>
                    <m:t>*koszt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s2</m:t>
                      </m:r>
                    </m:e>
                  </m:d>
                  <m:r>
                    <w:rPr>
                      <w:rFonts w:ascii="Cambria Math" w:hAnsi="Cambria Math"/>
                    </w:rPr>
                    <m:t>|</m:t>
                  </m:r>
                </m:e>
              </m:nary>
            </m:e>
          </m:nary>
        </m:oMath>
      </m:oMathPara>
    </w:p>
    <w:p w:rsidR="00FC6DED" w:rsidRDefault="00FC6DED" w:rsidP="00FC6DED">
      <w:r>
        <w:t>gdzie S – liczba użytych w danym zadaniu scenariuszy kosztów produkcji</w:t>
      </w:r>
    </w:p>
    <w:p w:rsidR="002218AE" w:rsidRDefault="002218AE" w:rsidP="002218AE">
      <w:pPr>
        <w:pStyle w:val="Akapitzlist"/>
        <w:numPr>
          <w:ilvl w:val="2"/>
          <w:numId w:val="1"/>
        </w:numPr>
      </w:pPr>
      <w:r>
        <w:t>Relacje i ograniczenia między parametrami modelu</w:t>
      </w:r>
    </w:p>
    <w:p w:rsidR="002218AE" w:rsidRDefault="002218AE" w:rsidP="002218AE">
      <w:r>
        <w:t>Umowa - Ograniczenie opisujące zakres realizowanej umowy</w:t>
      </w:r>
    </w:p>
    <w:p w:rsidR="002218AE" w:rsidRDefault="002218AE" w:rsidP="002218AE">
      <w:r>
        <w:t>UzycieZ1 - Ograniczenie opisujące użycie zasobu produkcyjnego Z1 na potrzeby produkcji komponentów A/B</w:t>
      </w:r>
    </w:p>
    <w:p w:rsidR="002218AE" w:rsidRDefault="002218AE" w:rsidP="002218AE">
      <w:r>
        <w:t>UzycieZ2 - Ograniczenie opisujące użycie zasobu produkcyjnego Z1 na potrzeby produkcji komponentów A/B</w:t>
      </w:r>
    </w:p>
    <w:p w:rsidR="002218AE" w:rsidRDefault="002218AE" w:rsidP="002218AE">
      <w:r>
        <w:t>StanMagazynu - Ograniczenie opisujące stan magazynu w poszczególnych miesiącach M1/M2/M3</w:t>
      </w:r>
    </w:p>
    <w:p w:rsidR="002218AE" w:rsidRDefault="002218AE" w:rsidP="002218AE">
      <w:r>
        <w:t>PrzekroczenieKosztowSuma - Ograniczenie ustawiające flagę przekroczenia sumy produkcji w wysokości 100 sztuk komponentów w danym miesiącu</w:t>
      </w:r>
    </w:p>
    <w:p w:rsidR="002218AE" w:rsidRDefault="002218AE" w:rsidP="002218AE">
      <w:r>
        <w:t>PrzekroczenieKosztow - Ograniczenie ustawiające flagę przekroczenia produkcji w wysokości 100 sztuk komponentu A/B w danym miesiącu</w:t>
      </w:r>
    </w:p>
    <w:p w:rsidR="002218AE" w:rsidRDefault="002218AE" w:rsidP="002218AE">
      <w:r>
        <w:t>MaksDostawa - Ograniczenie opisujące możliwe dostawy komponentów Z1 i Z2 w danych miesiącach M1/M2/M3</w:t>
      </w:r>
    </w:p>
    <w:p w:rsidR="002218AE" w:rsidRDefault="002218AE" w:rsidP="002218AE">
      <w:r>
        <w:lastRenderedPageBreak/>
        <w:t>MinimalnaProdukcja - Ograniczenie definiujące minimalną produkcję komponentów A/B</w:t>
      </w:r>
    </w:p>
    <w:p w:rsidR="00FC6DED" w:rsidRDefault="00FC6DED" w:rsidP="00FC6DED">
      <w:pPr>
        <w:pStyle w:val="Akapitzlist"/>
        <w:numPr>
          <w:ilvl w:val="1"/>
          <w:numId w:val="1"/>
        </w:numPr>
      </w:pPr>
      <w:r>
        <w:t>Model preferencji</w:t>
      </w:r>
    </w:p>
    <w:p w:rsidR="00FC6DED" w:rsidRDefault="00FC6DED" w:rsidP="00FC6DED">
      <w:pPr>
        <w:ind w:firstLine="360"/>
      </w:pPr>
      <w:r>
        <w:t>Ogólna preferencja w modelowanym zadaniu to jednoczesna minimalizacja kosztu i ryzyka:</w:t>
      </w:r>
    </w:p>
    <w:p w:rsidR="00FC6DED" w:rsidRDefault="00FC6DED" w:rsidP="00FC6DED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min⁡</m:t>
          </m:r>
          <m:r>
            <w:rPr>
              <w:rFonts w:ascii="Cambria Math" w:hAnsi="Cambria Math"/>
            </w:rPr>
            <m:t>(sredniKoszt, ryzyko)</m:t>
          </m:r>
        </m:oMath>
      </m:oMathPara>
    </w:p>
    <w:p w:rsidR="00FC6DED" w:rsidRDefault="00FC6DED" w:rsidP="004A513D">
      <w:r>
        <w:t>Założono, że zaistnienie każdego ze scenariuszy jest jednakowo podobne.</w:t>
      </w:r>
    </w:p>
    <w:p w:rsidR="00523573" w:rsidRDefault="00523573" w:rsidP="00523573">
      <w:pPr>
        <w:pStyle w:val="Akapitzlist"/>
        <w:numPr>
          <w:ilvl w:val="2"/>
          <w:numId w:val="1"/>
        </w:numPr>
      </w:pPr>
      <w:r>
        <w:t>Metoda Punktu Odniesienia</w:t>
      </w:r>
    </w:p>
    <w:p w:rsidR="00FC6DED" w:rsidRDefault="00FC6DED" w:rsidP="00FC6DED">
      <w:pPr>
        <w:ind w:firstLine="708"/>
      </w:pPr>
      <w:r>
        <w:t>Do rozwiązania zadania zdecydowano się wykorzystać Metodę Punktu Odniesienia</w:t>
      </w:r>
      <w:r w:rsidR="004A513D">
        <w:t xml:space="preserve">. </w:t>
      </w:r>
      <w:r w:rsidR="004A513D" w:rsidRPr="00523D30">
        <w:t>Metoda punktu odniesienia została zlineary</w:t>
      </w:r>
      <w:r w:rsidR="004A513D">
        <w:t>zowana z uwzględnieniem minimalizacji indywidualnych celów.</w:t>
      </w:r>
    </w:p>
    <w:p w:rsidR="004A513D" w:rsidRDefault="004A513D" w:rsidP="004A513D">
      <w:pPr>
        <w:spacing w:after="0"/>
        <w:jc w:val="both"/>
      </w:pPr>
      <w:r>
        <w:t>Ogólna metoda MPO zakłada maksymalizację funkcji skalaryzującej:</w:t>
      </w:r>
    </w:p>
    <w:p w:rsidR="004A513D" w:rsidRDefault="004A513D" w:rsidP="004A513D">
      <w:pPr>
        <w:spacing w:after="0"/>
        <w:jc w:val="both"/>
      </w:pPr>
      <m:oMathPara>
        <m:oMath>
          <m: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</m:e>
          </m:func>
          <m:r>
            <w:rPr>
              <w:rFonts w:ascii="Cambria Math" w:hAnsi="Cambria Math"/>
            </w:rPr>
            <m:t>+ ε</m:t>
          </m:r>
          <m:nary>
            <m:naryPr>
              <m:chr m:val="∑"/>
              <m:limLoc m:val="undOvr"/>
              <m:subHide m:val="on"/>
              <m:supHide m:val="on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:rsidR="004A513D" w:rsidRDefault="004A513D" w:rsidP="004A513D">
      <w:pPr>
        <w:spacing w:after="0"/>
        <w:jc w:val="center"/>
      </w:pPr>
    </w:p>
    <w:p w:rsidR="004A513D" w:rsidRDefault="004A513D" w:rsidP="004A513D">
      <w:pPr>
        <w:spacing w:after="0"/>
        <w:jc w:val="both"/>
      </w:pPr>
      <w:r>
        <w:t>Z indywidualnymi funkcjami:</w:t>
      </w:r>
    </w:p>
    <w:p w:rsidR="004A513D" w:rsidRPr="00176C01" w:rsidRDefault="00F14B70" w:rsidP="004A513D">
      <w:pPr>
        <w:spacing w:after="0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β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 xml:space="preserve">   dla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≥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 xml:space="preserve">   dla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&lt;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eqArr>
            </m:e>
          </m:d>
        </m:oMath>
      </m:oMathPara>
    </w:p>
    <w:p w:rsidR="004A513D" w:rsidRDefault="00523573" w:rsidP="004A513D">
      <w:pPr>
        <w:spacing w:after="0"/>
        <w:jc w:val="both"/>
      </w:pPr>
      <w:r>
        <w:t>Gdzie:</w:t>
      </w:r>
    </w:p>
    <w:p w:rsidR="00523573" w:rsidRPr="00523573" w:rsidRDefault="00523573" w:rsidP="004A513D">
      <w:pPr>
        <w:spacing w:after="0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ε-parametr regularyzacji</m:t>
          </m:r>
        </m:oMath>
      </m:oMathPara>
    </w:p>
    <w:p w:rsidR="00523573" w:rsidRDefault="00523573" w:rsidP="004A513D">
      <w:pPr>
        <w:spacing w:after="0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β-czynnik pomniejszenia wartości ocen, musi spełniać zależność 0&lt; β&lt;1</m:t>
          </m:r>
        </m:oMath>
      </m:oMathPara>
    </w:p>
    <w:p w:rsidR="00523573" w:rsidRDefault="00EB1BE5" w:rsidP="004A513D">
      <w:pPr>
        <w:spacing w:after="0"/>
        <w:jc w:val="both"/>
        <w:rPr>
          <w:rFonts w:eastAsiaTheme="minorEastAsia"/>
        </w:rPr>
      </w:pPr>
      <w:r>
        <w:rPr>
          <w:rFonts w:eastAsiaTheme="minorEastAsia"/>
        </w:rPr>
        <w:t xml:space="preserve">Parametr regularyzacji zazwyczaj przyjmuje się jako </w:t>
      </w:r>
      <m:oMath>
        <m:r>
          <w:rPr>
            <w:rFonts w:ascii="Cambria Math" w:hAnsi="Cambria Math"/>
          </w:rPr>
          <m:t xml:space="preserve">ε=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ρ</m:t>
            </m:r>
          </m:num>
          <m:den>
            <m:r>
              <w:rPr>
                <w:rFonts w:ascii="Cambria Math" w:hAnsi="Cambria Math"/>
              </w:rPr>
              <m:t>wymiar zadania</m:t>
            </m:r>
          </m:den>
        </m:f>
      </m:oMath>
      <w:r>
        <w:rPr>
          <w:rFonts w:eastAsiaTheme="minorEastAsia"/>
        </w:rPr>
        <w:t xml:space="preserve">, gdzie </w:t>
      </w:r>
      <m:oMath>
        <m:r>
          <w:rPr>
            <w:rFonts w:ascii="Cambria Math" w:hAnsi="Cambria Math"/>
          </w:rPr>
          <m:t xml:space="preserve">ρ=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</m:oMath>
      <w:r>
        <w:rPr>
          <w:rFonts w:eastAsiaTheme="minorEastAsia"/>
        </w:rPr>
        <w:t xml:space="preserve">. Dla rozpatrywanego zadania przyjęto </w:t>
      </w:r>
      <m:oMath>
        <m:r>
          <w:rPr>
            <w:rFonts w:ascii="Cambria Math" w:hAnsi="Cambria Math"/>
          </w:rPr>
          <m:t xml:space="preserve">ε=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0.5*10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</m:oMath>
    </w:p>
    <w:p w:rsidR="00EB1BE5" w:rsidRDefault="00EB1BE5" w:rsidP="004A513D">
      <w:pPr>
        <w:spacing w:after="0"/>
        <w:jc w:val="both"/>
        <w:rPr>
          <w:rFonts w:eastAsiaTheme="minorEastAsia"/>
        </w:rPr>
      </w:pPr>
      <w:r>
        <w:rPr>
          <w:rFonts w:eastAsiaTheme="minorEastAsia"/>
        </w:rPr>
        <w:t xml:space="preserve">Czynnik pomniejszenia wartości ocen dla rozpatrywanego zadania przyjęto </w:t>
      </w:r>
      <m:oMath>
        <m:r>
          <w:rPr>
            <w:rFonts w:ascii="Cambria Math" w:hAnsi="Cambria Math"/>
          </w:rPr>
          <m:t xml:space="preserve">β=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</m:oMath>
      <w:r>
        <w:rPr>
          <w:rFonts w:eastAsiaTheme="minorEastAsia"/>
        </w:rPr>
        <w:t>.</w:t>
      </w:r>
    </w:p>
    <w:p w:rsidR="00EB1BE5" w:rsidRPr="00523573" w:rsidRDefault="00EB1BE5" w:rsidP="004A513D">
      <w:pPr>
        <w:spacing w:after="0"/>
        <w:jc w:val="both"/>
        <w:rPr>
          <w:rFonts w:eastAsiaTheme="minorEastAsia"/>
        </w:rPr>
      </w:pPr>
    </w:p>
    <w:p w:rsidR="004A513D" w:rsidRDefault="004A513D" w:rsidP="00523573">
      <w:pPr>
        <w:spacing w:after="0"/>
        <w:ind w:firstLine="708"/>
        <w:jc w:val="both"/>
      </w:pPr>
      <w:r>
        <w:t>W metodzie MPO docelową poszukiwaną wartością każdej indywidualnej funkcji osiągnięcia jest poziom aspiracji (użytkownika). W rozpatrywanym przypadku wartość lepsza to wartość niższa, a zatem przekształcono równanie tak, by uwzględnić minimalizację, a zatem:</w:t>
      </w:r>
    </w:p>
    <w:p w:rsidR="004A513D" w:rsidRDefault="00F14B70" w:rsidP="004A513D">
      <w:pPr>
        <w:spacing w:after="0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β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 xml:space="preserve">   dla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≤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 xml:space="preserve">   dla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eqArr>
            </m:e>
          </m:d>
        </m:oMath>
      </m:oMathPara>
    </w:p>
    <w:p w:rsidR="004A513D" w:rsidRPr="008F086A" w:rsidRDefault="004A513D" w:rsidP="004A513D">
      <w:pPr>
        <w:tabs>
          <w:tab w:val="left" w:pos="3705"/>
        </w:tabs>
        <w:spacing w:after="0"/>
        <w:jc w:val="both"/>
      </w:pPr>
      <w:r>
        <w:tab/>
      </w:r>
    </w:p>
    <w:p w:rsidR="004A513D" w:rsidRDefault="004A513D" w:rsidP="004A513D">
      <w:pPr>
        <w:spacing w:after="0"/>
        <w:jc w:val="both"/>
      </w:pPr>
      <w:r>
        <w:t>Celem zapewnienia takiego samego wpływu każdej z funkcji osiągnięcia (s</w:t>
      </w:r>
      <w:r>
        <w:rPr>
          <w:vertAlign w:val="subscript"/>
        </w:rPr>
        <w:t>i</w:t>
      </w:r>
      <w:r>
        <w:t>) w metodzie MPO wprowadzono dodatnie czynniki skalujące λ</w:t>
      </w:r>
      <w:r>
        <w:rPr>
          <w:vertAlign w:val="subscript"/>
        </w:rPr>
        <w:t>i</w:t>
      </w:r>
      <w:r>
        <w:t>. Zapewnienie podobnego rzędu wartości osiąga się poprzez skalowanie względem zakresu wartości, czyli względem szerokości zakresu od najgorszej do najlepszej możliwej wartości oceny indywidualnej. Jest to odwrotność różnicy między utopią, a nadirem dla każdej z indywidualnych funkcji osiągnięcia.</w:t>
      </w:r>
    </w:p>
    <w:p w:rsidR="004A513D" w:rsidRDefault="004A513D" w:rsidP="004A513D">
      <w:pPr>
        <w:spacing w:after="0"/>
        <w:jc w:val="both"/>
      </w:pPr>
    </w:p>
    <w:p w:rsidR="004A513D" w:rsidRDefault="004A513D" w:rsidP="004A513D">
      <w:pPr>
        <w:spacing w:after="0"/>
        <w:jc w:val="both"/>
      </w:pPr>
      <w:r>
        <w:t>W rozpatrywanym modelu obie funkcje indywidualne są optymalizowane w kierunku wartości minimalnej. Przy minimalizacji zakresu, nadir ma wartość większą niż</w:t>
      </w:r>
      <w:r w:rsidRPr="004A513D">
        <w:t xml:space="preserve"> </w:t>
      </w:r>
      <w:r>
        <w:t>utopia, dlatego wartość współczynnika lambda wyliczono następująco:</w:t>
      </w:r>
    </w:p>
    <w:p w:rsidR="004A513D" w:rsidRDefault="00F14B70" w:rsidP="004A513D">
      <w:pPr>
        <w:spacing w:after="0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</m:oMath>
      </m:oMathPara>
    </w:p>
    <w:p w:rsidR="004A513D" w:rsidRPr="001A6135" w:rsidRDefault="004A513D" w:rsidP="004A513D">
      <w:pPr>
        <w:spacing w:after="0"/>
        <w:jc w:val="both"/>
      </w:pPr>
    </w:p>
    <w:p w:rsidR="004A513D" w:rsidRDefault="004A513D" w:rsidP="00523573">
      <w:pPr>
        <w:ind w:firstLine="708"/>
      </w:pPr>
      <w:r>
        <w:t xml:space="preserve">Implementacja </w:t>
      </w:r>
      <w:r w:rsidR="00523573">
        <w:t xml:space="preserve">Metody Punktu Odniesienia </w:t>
      </w:r>
      <w:r>
        <w:t>wygląda następująco:</w:t>
      </w:r>
    </w:p>
    <w:p w:rsidR="004A513D" w:rsidRPr="005107B9" w:rsidRDefault="004A513D" w:rsidP="004A513D">
      <w:pPr>
        <w:spacing w:after="0"/>
        <w:jc w:val="both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w:lastRenderedPageBreak/>
          <m:t>max⁡</m:t>
        </m:r>
        <m:r>
          <w:rPr>
            <w:rFonts w:ascii="Cambria Math" w:eastAsiaTheme="minorEastAsia" w:hAnsi="Cambria Math"/>
          </w:rPr>
          <m:t>(v)</m:t>
        </m:r>
      </m:oMath>
      <w:r>
        <w:rPr>
          <w:rFonts w:eastAsiaTheme="minorEastAsia"/>
        </w:rPr>
        <w:t xml:space="preserve"> + </w:t>
      </w:r>
      <m:oMath>
        <m:r>
          <w:rPr>
            <w:rFonts w:ascii="Cambria Math" w:hAnsi="Cambria Math"/>
          </w:rPr>
          <m:t>ε</m:t>
        </m:r>
        <m:nary>
          <m:naryPr>
            <m:chr m:val="∑"/>
            <m:limLoc m:val="undOvr"/>
            <m:subHide m:val="on"/>
            <m:supHide m:val="on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nary>
      </m:oMath>
    </w:p>
    <w:p w:rsidR="004A513D" w:rsidRDefault="004A513D" w:rsidP="004A513D">
      <w:pPr>
        <w:spacing w:after="0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v≤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</m:oMath>
      </m:oMathPara>
    </w:p>
    <w:p w:rsidR="00523573" w:rsidRPr="005107B9" w:rsidRDefault="00523573" w:rsidP="004A513D">
      <w:pPr>
        <w:spacing w:after="0"/>
        <w:jc w:val="both"/>
        <w:rPr>
          <w:rFonts w:eastAsiaTheme="minorEastAsia"/>
        </w:rPr>
      </w:pPr>
    </w:p>
    <w:p w:rsidR="00523573" w:rsidRDefault="00523573" w:rsidP="00523573">
      <w:pPr>
        <w:pStyle w:val="Akapitzlist"/>
        <w:numPr>
          <w:ilvl w:val="2"/>
          <w:numId w:val="1"/>
        </w:numPr>
      </w:pPr>
      <w:r>
        <w:t>Zastosowanie MPO w zamodelowanym zadaniu</w:t>
      </w:r>
    </w:p>
    <w:p w:rsidR="00225CEF" w:rsidRDefault="00521AFF" w:rsidP="00225CEF">
      <w:pPr>
        <w:pStyle w:val="Akapitzlist"/>
        <w:numPr>
          <w:ilvl w:val="3"/>
          <w:numId w:val="1"/>
        </w:numPr>
      </w:pPr>
      <w:r>
        <w:t>Współczynniki</w:t>
      </w:r>
      <w:r w:rsidR="00225CEF">
        <w:t xml:space="preserve"> metody MPO</w:t>
      </w:r>
      <w:r>
        <w:t>:</w:t>
      </w:r>
    </w:p>
    <w:p w:rsidR="00225CEF" w:rsidRDefault="00225CEF" w:rsidP="00225CEF">
      <w:r>
        <w:t>beta = 0.0001 - współczynnik pomniejszenia wartości ocen</w:t>
      </w:r>
    </w:p>
    <w:p w:rsidR="00225CEF" w:rsidRDefault="00225CEF" w:rsidP="00225CEF">
      <w:r>
        <w:t xml:space="preserve">epsilon = 0.00005 - parametr regularyzacji </w:t>
      </w:r>
    </w:p>
    <w:p w:rsidR="00225CEF" w:rsidRDefault="00225CEF" w:rsidP="00225CEF">
      <w:r>
        <w:t>aspiracjaK - wartość poziomu aspiracji kosztu średniego</w:t>
      </w:r>
    </w:p>
    <w:p w:rsidR="00225CEF" w:rsidRDefault="00225CEF" w:rsidP="00225CEF">
      <w:r>
        <w:t>utopiaK - wartość utopii kosztu średniego</w:t>
      </w:r>
    </w:p>
    <w:p w:rsidR="00225CEF" w:rsidRDefault="00225CEF" w:rsidP="00225CEF">
      <w:r>
        <w:t>nadirK - wartość nadiru kosztu średniego</w:t>
      </w:r>
    </w:p>
    <w:p w:rsidR="00225CEF" w:rsidRDefault="00225CEF" w:rsidP="00225CEF">
      <w:r>
        <w:t>lambdaK - wartość współczynnika lambda dla kosztu średniego</w:t>
      </w:r>
    </w:p>
    <w:p w:rsidR="00225CEF" w:rsidRDefault="00225CEF" w:rsidP="00225CEF">
      <w:r>
        <w:t>aspiracjaR - wartość poziomu aspiracji ryzyka</w:t>
      </w:r>
    </w:p>
    <w:p w:rsidR="00225CEF" w:rsidRDefault="00225CEF" w:rsidP="00225CEF">
      <w:r>
        <w:t>utopiaR - wartość utopii ryzyka</w:t>
      </w:r>
    </w:p>
    <w:p w:rsidR="00225CEF" w:rsidRDefault="00225CEF" w:rsidP="00225CEF">
      <w:r>
        <w:t>nadirR - wartość nadiru ryzyka</w:t>
      </w:r>
    </w:p>
    <w:p w:rsidR="00225CEF" w:rsidRDefault="00225CEF" w:rsidP="00225CEF">
      <w:r>
        <w:t>lambdaR - wartość współczynnika lambda dla ryzyka</w:t>
      </w:r>
    </w:p>
    <w:p w:rsidR="00225CEF" w:rsidRDefault="00225CEF" w:rsidP="00225CEF"/>
    <w:p w:rsidR="00225CEF" w:rsidRDefault="00521AFF" w:rsidP="00225CEF">
      <w:pPr>
        <w:pStyle w:val="Akapitzlist"/>
        <w:numPr>
          <w:ilvl w:val="3"/>
          <w:numId w:val="1"/>
        </w:numPr>
      </w:pPr>
      <w:r>
        <w:t>Zmienne stanu metody MPO</w:t>
      </w:r>
    </w:p>
    <w:p w:rsidR="00521AFF" w:rsidRDefault="00521AFF" w:rsidP="00521AFF">
      <w:r>
        <w:t>minFunOs - minimalna funkcja osiągnięcia</w:t>
      </w:r>
    </w:p>
    <w:p w:rsidR="00521AFF" w:rsidRDefault="00521AFF" w:rsidP="00521AFF">
      <w:r>
        <w:t>kosztFunOs - funkcja osiągnięcia dla kosztu średniego</w:t>
      </w:r>
    </w:p>
    <w:p w:rsidR="00521AFF" w:rsidRDefault="00521AFF" w:rsidP="00521AFF">
      <w:r>
        <w:t>ryzykoFunOs - funkcja osiągnięcia dla ryzyka</w:t>
      </w:r>
    </w:p>
    <w:p w:rsidR="00521AFF" w:rsidRDefault="00521AFF" w:rsidP="00521AFF"/>
    <w:p w:rsidR="00521AFF" w:rsidRDefault="00521AFF" w:rsidP="00225CEF">
      <w:pPr>
        <w:pStyle w:val="Akapitzlist"/>
        <w:numPr>
          <w:ilvl w:val="3"/>
          <w:numId w:val="1"/>
        </w:numPr>
      </w:pPr>
      <w:r>
        <w:t>Ograniczenia metody MPO</w:t>
      </w:r>
    </w:p>
    <w:p w:rsidR="00521AFF" w:rsidRDefault="00521AFF" w:rsidP="00521AFF">
      <w:r>
        <w:t>MPO1 - Obliczenie minimalnej wartości funkcji osiągnięcia</w:t>
      </w:r>
    </w:p>
    <w:p w:rsidR="00521AFF" w:rsidRDefault="00521AFF" w:rsidP="00521AFF">
      <w:r>
        <w:t xml:space="preserve">MPO2 - Obliczenie wartości funkcji osiągnięcia dla kosztu średniego     </w:t>
      </w:r>
    </w:p>
    <w:p w:rsidR="00225CEF" w:rsidRDefault="00521AFF" w:rsidP="00521AFF">
      <w:r>
        <w:t>MPO3 - Obliczenie wartości funkcji osiągnięcia dla ryzyka</w:t>
      </w:r>
    </w:p>
    <w:p w:rsidR="00521AFF" w:rsidRDefault="00521AFF" w:rsidP="00521AFF"/>
    <w:p w:rsidR="00521AFF" w:rsidRDefault="00521AFF">
      <w:r>
        <w:br w:type="page"/>
      </w:r>
    </w:p>
    <w:p w:rsidR="00EB1BE5" w:rsidRDefault="00EB1BE5" w:rsidP="00EB1BE5">
      <w:pPr>
        <w:pStyle w:val="Akapitzlist"/>
        <w:numPr>
          <w:ilvl w:val="0"/>
          <w:numId w:val="1"/>
        </w:numPr>
      </w:pPr>
      <w:r>
        <w:lastRenderedPageBreak/>
        <w:t>Rozwiązanie zadania</w:t>
      </w:r>
    </w:p>
    <w:p w:rsidR="00EB1BE5" w:rsidRDefault="00EB1BE5" w:rsidP="00EB1BE5">
      <w:pPr>
        <w:ind w:firstLine="360"/>
      </w:pPr>
      <w:r>
        <w:t>Ze względu na czas obliczeń potrzebny na optymalizację modelu, zadanie postanowiono rozwiązać dla 100 scenariuszy kosztów produkcji, reprezentowanych przez macierz kosztProdukcji[zakresScenariuszy][zakres zmiennych]</w:t>
      </w:r>
    </w:p>
    <w:p w:rsidR="00EB1BE5" w:rsidRDefault="00EB1BE5" w:rsidP="00EB1BE5">
      <w:pPr>
        <w:pStyle w:val="Akapitzlist"/>
        <w:numPr>
          <w:ilvl w:val="1"/>
          <w:numId w:val="1"/>
        </w:numPr>
      </w:pPr>
      <w:r>
        <w:t>Rozwiązanie minimalnego kosztu i ryzyka</w:t>
      </w:r>
    </w:p>
    <w:p w:rsidR="00EB1BE5" w:rsidRDefault="00EB1BE5" w:rsidP="00225CEF">
      <w:pPr>
        <w:ind w:firstLine="360"/>
      </w:pPr>
      <w:r>
        <w:t>Wyznaczono rozwiązanie minimalnego kosztu i ryzyka zgodnie z poniższą tabelą:</w:t>
      </w:r>
    </w:p>
    <w:tbl>
      <w:tblPr>
        <w:tblStyle w:val="Tabela-Siatka"/>
        <w:tblW w:w="0" w:type="auto"/>
        <w:tblLook w:val="04A0"/>
      </w:tblPr>
      <w:tblGrid>
        <w:gridCol w:w="2376"/>
        <w:gridCol w:w="3402"/>
        <w:gridCol w:w="3434"/>
      </w:tblGrid>
      <w:tr w:rsidR="00EB1BE5" w:rsidTr="00225CEF">
        <w:tc>
          <w:tcPr>
            <w:tcW w:w="2376" w:type="dxa"/>
          </w:tcPr>
          <w:p w:rsidR="00EB1BE5" w:rsidRDefault="00EB1BE5" w:rsidP="00EB1BE5">
            <w:r>
              <w:t>Parametr</w:t>
            </w:r>
          </w:p>
        </w:tc>
        <w:tc>
          <w:tcPr>
            <w:tcW w:w="3402" w:type="dxa"/>
          </w:tcPr>
          <w:p w:rsidR="00EB1BE5" w:rsidRDefault="00225CEF" w:rsidP="00EB1BE5">
            <w:r>
              <w:t>Rozwiązanie minimalnego kosztu</w:t>
            </w:r>
          </w:p>
        </w:tc>
        <w:tc>
          <w:tcPr>
            <w:tcW w:w="3434" w:type="dxa"/>
          </w:tcPr>
          <w:p w:rsidR="00EB1BE5" w:rsidRDefault="00225CEF" w:rsidP="00EB1BE5">
            <w:r>
              <w:t>Rozwiązanie minimalnego ryzyka</w:t>
            </w:r>
          </w:p>
        </w:tc>
      </w:tr>
      <w:tr w:rsidR="00EB1BE5" w:rsidTr="00225CEF">
        <w:tc>
          <w:tcPr>
            <w:tcW w:w="2376" w:type="dxa"/>
          </w:tcPr>
          <w:p w:rsidR="00EB1BE5" w:rsidRDefault="00225CEF" w:rsidP="00EB1BE5">
            <w:r>
              <w:t>Średni koszt</w:t>
            </w:r>
          </w:p>
        </w:tc>
        <w:tc>
          <w:tcPr>
            <w:tcW w:w="3402" w:type="dxa"/>
          </w:tcPr>
          <w:p w:rsidR="00EB1BE5" w:rsidRDefault="00225CEF" w:rsidP="00EB1BE5">
            <w:r w:rsidRPr="00225CEF">
              <w:t>81635</w:t>
            </w:r>
          </w:p>
        </w:tc>
        <w:tc>
          <w:tcPr>
            <w:tcW w:w="3434" w:type="dxa"/>
          </w:tcPr>
          <w:p w:rsidR="00EB1BE5" w:rsidRDefault="00225CEF" w:rsidP="00EB1BE5">
            <w:r w:rsidRPr="00225CEF">
              <w:t>100400</w:t>
            </w:r>
          </w:p>
        </w:tc>
      </w:tr>
      <w:tr w:rsidR="00EB1BE5" w:rsidTr="00225CEF">
        <w:tc>
          <w:tcPr>
            <w:tcW w:w="2376" w:type="dxa"/>
          </w:tcPr>
          <w:p w:rsidR="00EB1BE5" w:rsidRDefault="00225CEF" w:rsidP="00EB1BE5">
            <w:r>
              <w:t>Średnia różnica Giniego</w:t>
            </w:r>
          </w:p>
        </w:tc>
        <w:tc>
          <w:tcPr>
            <w:tcW w:w="3402" w:type="dxa"/>
          </w:tcPr>
          <w:p w:rsidR="00EB1BE5" w:rsidRDefault="00225CEF" w:rsidP="00EB1BE5">
            <w:r w:rsidRPr="00225CEF">
              <w:t>3466.8</w:t>
            </w:r>
          </w:p>
        </w:tc>
        <w:tc>
          <w:tcPr>
            <w:tcW w:w="3434" w:type="dxa"/>
          </w:tcPr>
          <w:p w:rsidR="00EB1BE5" w:rsidRDefault="00225CEF" w:rsidP="00EB1BE5">
            <w:r w:rsidRPr="00225CEF">
              <w:t>866.03</w:t>
            </w:r>
          </w:p>
        </w:tc>
      </w:tr>
    </w:tbl>
    <w:p w:rsidR="00EB1BE5" w:rsidRDefault="00225CEF" w:rsidP="00EB1BE5">
      <w:r>
        <w:t>Tab.1 Rozwiązanie minimalnego kosztu i ryzyka</w:t>
      </w:r>
    </w:p>
    <w:p w:rsidR="00521AFF" w:rsidRDefault="00225CEF" w:rsidP="00EB1BE5">
      <w:r>
        <w:t xml:space="preserve">Na podstawie powyższych rozwiązań wyznaczono wartości nadiru i utopii oraz współczynnika </w:t>
      </w:r>
      <w:r w:rsidR="00521AFF">
        <w:t xml:space="preserve"> skalującego λ</w:t>
      </w:r>
    </w:p>
    <w:tbl>
      <w:tblPr>
        <w:tblStyle w:val="Tabela-Siatka"/>
        <w:tblW w:w="0" w:type="auto"/>
        <w:tblLook w:val="04A0"/>
      </w:tblPr>
      <w:tblGrid>
        <w:gridCol w:w="2376"/>
        <w:gridCol w:w="2230"/>
        <w:gridCol w:w="2303"/>
        <w:gridCol w:w="2303"/>
      </w:tblGrid>
      <w:tr w:rsidR="00521AFF" w:rsidTr="00521AFF">
        <w:tc>
          <w:tcPr>
            <w:tcW w:w="2376" w:type="dxa"/>
          </w:tcPr>
          <w:p w:rsidR="00521AFF" w:rsidRDefault="00521AFF" w:rsidP="00EB1BE5"/>
        </w:tc>
        <w:tc>
          <w:tcPr>
            <w:tcW w:w="2230" w:type="dxa"/>
          </w:tcPr>
          <w:p w:rsidR="00521AFF" w:rsidRDefault="00521AFF" w:rsidP="00EB1BE5">
            <w:r>
              <w:t>Utopia</w:t>
            </w:r>
          </w:p>
        </w:tc>
        <w:tc>
          <w:tcPr>
            <w:tcW w:w="2303" w:type="dxa"/>
          </w:tcPr>
          <w:p w:rsidR="00521AFF" w:rsidRDefault="00521AFF" w:rsidP="00EB1BE5">
            <w:r>
              <w:t>Nadir</w:t>
            </w:r>
          </w:p>
        </w:tc>
        <w:tc>
          <w:tcPr>
            <w:tcW w:w="2303" w:type="dxa"/>
          </w:tcPr>
          <w:p w:rsidR="00521AFF" w:rsidRDefault="00521AFF" w:rsidP="00EB1BE5">
            <w:r>
              <w:t>Współczynnik λ</w:t>
            </w:r>
          </w:p>
        </w:tc>
      </w:tr>
      <w:tr w:rsidR="00521AFF" w:rsidTr="00521AFF">
        <w:tc>
          <w:tcPr>
            <w:tcW w:w="2376" w:type="dxa"/>
          </w:tcPr>
          <w:p w:rsidR="00521AFF" w:rsidRDefault="00521AFF" w:rsidP="00EB1BE5">
            <w:r>
              <w:t>Średni koszt</w:t>
            </w:r>
          </w:p>
        </w:tc>
        <w:tc>
          <w:tcPr>
            <w:tcW w:w="2230" w:type="dxa"/>
          </w:tcPr>
          <w:p w:rsidR="00521AFF" w:rsidRDefault="00521AFF" w:rsidP="00EB1BE5">
            <w:r w:rsidRPr="00225CEF">
              <w:t>81635</w:t>
            </w:r>
          </w:p>
        </w:tc>
        <w:tc>
          <w:tcPr>
            <w:tcW w:w="2303" w:type="dxa"/>
          </w:tcPr>
          <w:p w:rsidR="00521AFF" w:rsidRDefault="00521AFF" w:rsidP="00EB1BE5">
            <w:r w:rsidRPr="00225CEF">
              <w:t>100400</w:t>
            </w:r>
          </w:p>
        </w:tc>
        <w:tc>
          <w:tcPr>
            <w:tcW w:w="2303" w:type="dxa"/>
          </w:tcPr>
          <w:p w:rsidR="00521AFF" w:rsidRPr="00521AFF" w:rsidRDefault="00521AFF" w:rsidP="00EB1BE5">
            <w:pPr>
              <w:rPr>
                <w:vertAlign w:val="superscript"/>
              </w:rPr>
            </w:pPr>
            <w:r>
              <w:t>5.33 * 10</w:t>
            </w:r>
            <w:r>
              <w:rPr>
                <w:vertAlign w:val="superscript"/>
              </w:rPr>
              <w:t>-5</w:t>
            </w:r>
          </w:p>
        </w:tc>
      </w:tr>
      <w:tr w:rsidR="00521AFF" w:rsidTr="00521AFF">
        <w:tc>
          <w:tcPr>
            <w:tcW w:w="2376" w:type="dxa"/>
          </w:tcPr>
          <w:p w:rsidR="00521AFF" w:rsidRDefault="00521AFF" w:rsidP="00EB1BE5">
            <w:r>
              <w:t>Średnia różnica Giniego</w:t>
            </w:r>
          </w:p>
        </w:tc>
        <w:tc>
          <w:tcPr>
            <w:tcW w:w="2230" w:type="dxa"/>
          </w:tcPr>
          <w:p w:rsidR="00521AFF" w:rsidRDefault="00521AFF" w:rsidP="00EB1BE5">
            <w:r w:rsidRPr="00225CEF">
              <w:t>866.03</w:t>
            </w:r>
          </w:p>
        </w:tc>
        <w:tc>
          <w:tcPr>
            <w:tcW w:w="2303" w:type="dxa"/>
          </w:tcPr>
          <w:p w:rsidR="00521AFF" w:rsidRDefault="00521AFF" w:rsidP="00EB1BE5">
            <w:r w:rsidRPr="00225CEF">
              <w:t>3466.8</w:t>
            </w:r>
          </w:p>
        </w:tc>
        <w:tc>
          <w:tcPr>
            <w:tcW w:w="2303" w:type="dxa"/>
          </w:tcPr>
          <w:p w:rsidR="00521AFF" w:rsidRPr="00521AFF" w:rsidRDefault="00521AFF" w:rsidP="00EB1BE5">
            <w:pPr>
              <w:rPr>
                <w:vertAlign w:val="superscript"/>
              </w:rPr>
            </w:pPr>
            <w:r>
              <w:t>3.85 * 10</w:t>
            </w:r>
            <w:r>
              <w:rPr>
                <w:vertAlign w:val="superscript"/>
              </w:rPr>
              <w:t>-4</w:t>
            </w:r>
          </w:p>
        </w:tc>
      </w:tr>
    </w:tbl>
    <w:p w:rsidR="00521AFF" w:rsidRDefault="007B4E5A" w:rsidP="00EB1BE5">
      <w:r>
        <w:t>Tab.2 Wartości współczynników Metody Punktu Odniesienia</w:t>
      </w:r>
    </w:p>
    <w:p w:rsidR="007B4E5A" w:rsidRDefault="007B4E5A" w:rsidP="007B4E5A">
      <w:pPr>
        <w:pStyle w:val="Akapitzlist"/>
        <w:numPr>
          <w:ilvl w:val="1"/>
          <w:numId w:val="1"/>
        </w:numPr>
      </w:pPr>
      <w:r>
        <w:t>Przestrzeń ryzyko - koszt</w:t>
      </w:r>
    </w:p>
    <w:p w:rsidR="007B4E5A" w:rsidRDefault="007B4E5A" w:rsidP="007B4E5A">
      <w:pPr>
        <w:ind w:firstLine="360"/>
      </w:pPr>
      <w:r>
        <w:t>Punkty opisujące przestrzeń ryzyko – koszt zostały wyznaczone poprzez generowanie rozwiązań efektywnych dla zmiennych wartości aspiracji kosztu oraz ryzyka od wartości utopii do nadiru.</w:t>
      </w:r>
      <w:r w:rsidR="006D537B">
        <w:t xml:space="preserve"> Żeby dobrze zilustrować obraz zbioru rozwiązań efektywnych wygenerowano 140 punktów.</w:t>
      </w:r>
    </w:p>
    <w:p w:rsidR="006D537B" w:rsidRDefault="006D537B" w:rsidP="007B4E5A">
      <w:pPr>
        <w:ind w:firstLine="360"/>
      </w:pPr>
      <w:r>
        <w:t>Obraz zbioru rozwiązań efektywnych przedstawia poniższy wykres. Należy zauważyć zbliżoną do funkcji liniowej zależność między miarą kosztu oraz miarą ryzyka w modelowanym zagadnieniu.</w:t>
      </w:r>
    </w:p>
    <w:p w:rsidR="007B4E5A" w:rsidRDefault="006D537B" w:rsidP="007B4E5A">
      <w:pPr>
        <w:ind w:firstLine="360"/>
      </w:pPr>
      <w:r>
        <w:t>Na wykresie zostały oznaczone punkty w przestrzeni ryzyko – koszt  odpowiadające rozwiązaniom minimalnego kosztu – kolorem czerwonym oraz minimalnego ryzyka – kolorem zielonym.</w:t>
      </w:r>
    </w:p>
    <w:p w:rsidR="006D537B" w:rsidRDefault="006D537B" w:rsidP="007B4E5A">
      <w:pPr>
        <w:ind w:firstLine="360"/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4073029"/>
            <wp:effectExtent l="19050" t="0" r="0" b="0"/>
            <wp:docPr id="4" name="Obraz 4" descr="C:\Users\Mateusz\Desktop\WDWR\Projekt mój\100 punktów\Graph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teusz\Desktop\WDWR\Projekt mój\100 punktów\Graph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73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37B" w:rsidRDefault="006D537B" w:rsidP="007B4E5A">
      <w:pPr>
        <w:ind w:firstLine="360"/>
      </w:pPr>
      <w:r>
        <w:t>Rys. 2 Obraz zbioru rozwiązań efektywnych w przestrzeni ryzyko - koszt</w:t>
      </w:r>
    </w:p>
    <w:p w:rsidR="006D537B" w:rsidRDefault="006D537B" w:rsidP="006D537B">
      <w:pPr>
        <w:pStyle w:val="Akapitzlist"/>
        <w:numPr>
          <w:ilvl w:val="1"/>
          <w:numId w:val="1"/>
        </w:numPr>
      </w:pPr>
      <w:r>
        <w:t>Dominacja stochastyczna</w:t>
      </w:r>
    </w:p>
    <w:p w:rsidR="00542403" w:rsidRDefault="00542403" w:rsidP="00542403">
      <w:r>
        <w:t>W celu sprawdzenia dominacji stochastycznej wykorzystano następujące rozwiązania efektywne:</w:t>
      </w:r>
    </w:p>
    <w:tbl>
      <w:tblPr>
        <w:tblW w:w="9140" w:type="dxa"/>
        <w:tblInd w:w="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782"/>
        <w:gridCol w:w="782"/>
        <w:gridCol w:w="783"/>
        <w:gridCol w:w="783"/>
        <w:gridCol w:w="783"/>
        <w:gridCol w:w="783"/>
        <w:gridCol w:w="1140"/>
        <w:gridCol w:w="1151"/>
        <w:gridCol w:w="1258"/>
        <w:gridCol w:w="914"/>
      </w:tblGrid>
      <w:tr w:rsidR="00542403" w:rsidRPr="00542403" w:rsidTr="00542403">
        <w:trPr>
          <w:trHeight w:val="285"/>
        </w:trPr>
        <w:tc>
          <w:tcPr>
            <w:tcW w:w="780" w:type="dxa"/>
            <w:shd w:val="clear" w:color="auto" w:fill="auto"/>
            <w:noWrap/>
            <w:vAlign w:val="bottom"/>
            <w:hideMark/>
          </w:tcPr>
          <w:p w:rsidR="00542403" w:rsidRPr="00542403" w:rsidRDefault="00542403" w:rsidP="0054240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542403">
              <w:rPr>
                <w:rFonts w:ascii="Arial" w:eastAsia="Times New Roman" w:hAnsi="Arial" w:cs="Arial"/>
                <w:color w:val="000000"/>
                <w:lang w:eastAsia="pl-PL"/>
              </w:rPr>
              <w:t>c1_m1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:rsidR="00542403" w:rsidRPr="00542403" w:rsidRDefault="00542403" w:rsidP="0054240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542403">
              <w:rPr>
                <w:rFonts w:ascii="Arial" w:eastAsia="Times New Roman" w:hAnsi="Arial" w:cs="Arial"/>
                <w:color w:val="000000"/>
                <w:lang w:eastAsia="pl-PL"/>
              </w:rPr>
              <w:t>c1_m2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:rsidR="00542403" w:rsidRPr="00542403" w:rsidRDefault="00542403" w:rsidP="0054240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542403">
              <w:rPr>
                <w:rFonts w:ascii="Arial" w:eastAsia="Times New Roman" w:hAnsi="Arial" w:cs="Arial"/>
                <w:color w:val="000000"/>
                <w:lang w:eastAsia="pl-PL"/>
              </w:rPr>
              <w:t>c1_m3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:rsidR="00542403" w:rsidRPr="00542403" w:rsidRDefault="00542403" w:rsidP="0054240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542403">
              <w:rPr>
                <w:rFonts w:ascii="Arial" w:eastAsia="Times New Roman" w:hAnsi="Arial" w:cs="Arial"/>
                <w:color w:val="000000"/>
                <w:lang w:eastAsia="pl-PL"/>
              </w:rPr>
              <w:t>c2_m1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:rsidR="00542403" w:rsidRPr="00542403" w:rsidRDefault="00542403" w:rsidP="0054240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542403">
              <w:rPr>
                <w:rFonts w:ascii="Arial" w:eastAsia="Times New Roman" w:hAnsi="Arial" w:cs="Arial"/>
                <w:color w:val="000000"/>
                <w:lang w:eastAsia="pl-PL"/>
              </w:rPr>
              <w:t>c2_m2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:rsidR="00542403" w:rsidRPr="00542403" w:rsidRDefault="00542403" w:rsidP="0054240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542403">
              <w:rPr>
                <w:rFonts w:ascii="Arial" w:eastAsia="Times New Roman" w:hAnsi="Arial" w:cs="Arial"/>
                <w:color w:val="000000"/>
                <w:lang w:eastAsia="pl-PL"/>
              </w:rPr>
              <w:t>c2_m3</w:t>
            </w:r>
          </w:p>
        </w:tc>
        <w:tc>
          <w:tcPr>
            <w:tcW w:w="1140" w:type="dxa"/>
            <w:shd w:val="clear" w:color="auto" w:fill="auto"/>
            <w:noWrap/>
            <w:vAlign w:val="bottom"/>
            <w:hideMark/>
          </w:tcPr>
          <w:p w:rsidR="00542403" w:rsidRPr="00542403" w:rsidRDefault="00542403" w:rsidP="0054240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542403">
              <w:rPr>
                <w:rFonts w:ascii="Arial" w:eastAsia="Times New Roman" w:hAnsi="Arial" w:cs="Arial"/>
                <w:color w:val="000000"/>
                <w:lang w:eastAsia="pl-PL"/>
              </w:rPr>
              <w:t>aspiracjaK</w:t>
            </w:r>
          </w:p>
        </w:tc>
        <w:tc>
          <w:tcPr>
            <w:tcW w:w="1160" w:type="dxa"/>
            <w:shd w:val="clear" w:color="auto" w:fill="auto"/>
            <w:noWrap/>
            <w:vAlign w:val="bottom"/>
            <w:hideMark/>
          </w:tcPr>
          <w:p w:rsidR="00542403" w:rsidRPr="00542403" w:rsidRDefault="00542403" w:rsidP="0054240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542403">
              <w:rPr>
                <w:rFonts w:ascii="Arial" w:eastAsia="Times New Roman" w:hAnsi="Arial" w:cs="Arial"/>
                <w:color w:val="000000"/>
                <w:lang w:eastAsia="pl-PL"/>
              </w:rPr>
              <w:t>aspiracjaR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:rsidR="00542403" w:rsidRPr="00542403" w:rsidRDefault="00542403" w:rsidP="0054240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542403">
              <w:rPr>
                <w:rFonts w:ascii="Arial" w:eastAsia="Times New Roman" w:hAnsi="Arial" w:cs="Arial"/>
                <w:color w:val="000000"/>
                <w:lang w:eastAsia="pl-PL"/>
              </w:rPr>
              <w:t>sredniKoszt</w:t>
            </w:r>
          </w:p>
        </w:tc>
        <w:tc>
          <w:tcPr>
            <w:tcW w:w="880" w:type="dxa"/>
            <w:shd w:val="clear" w:color="auto" w:fill="auto"/>
            <w:noWrap/>
            <w:vAlign w:val="bottom"/>
            <w:hideMark/>
          </w:tcPr>
          <w:p w:rsidR="00542403" w:rsidRPr="00542403" w:rsidRDefault="00542403" w:rsidP="0054240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542403">
              <w:rPr>
                <w:rFonts w:ascii="Arial" w:eastAsia="Times New Roman" w:hAnsi="Arial" w:cs="Arial"/>
                <w:color w:val="000000"/>
                <w:lang w:eastAsia="pl-PL"/>
              </w:rPr>
              <w:t>ryzyko</w:t>
            </w:r>
          </w:p>
        </w:tc>
      </w:tr>
      <w:tr w:rsidR="00542403" w:rsidRPr="00542403" w:rsidTr="00542403">
        <w:trPr>
          <w:trHeight w:val="285"/>
        </w:trPr>
        <w:tc>
          <w:tcPr>
            <w:tcW w:w="780" w:type="dxa"/>
            <w:shd w:val="clear" w:color="auto" w:fill="auto"/>
            <w:noWrap/>
            <w:vAlign w:val="bottom"/>
            <w:hideMark/>
          </w:tcPr>
          <w:p w:rsidR="00542403" w:rsidRPr="00542403" w:rsidRDefault="00542403" w:rsidP="005424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542403">
              <w:rPr>
                <w:rFonts w:ascii="Arial" w:eastAsia="Times New Roman" w:hAnsi="Arial" w:cs="Arial"/>
                <w:color w:val="000000"/>
                <w:lang w:eastAsia="pl-PL"/>
              </w:rPr>
              <w:t>0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:rsidR="00542403" w:rsidRPr="00542403" w:rsidRDefault="00542403" w:rsidP="005424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542403">
              <w:rPr>
                <w:rFonts w:ascii="Arial" w:eastAsia="Times New Roman" w:hAnsi="Arial" w:cs="Arial"/>
                <w:color w:val="000000"/>
                <w:lang w:eastAsia="pl-PL"/>
              </w:rPr>
              <w:t>801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:rsidR="00542403" w:rsidRPr="00542403" w:rsidRDefault="00542403" w:rsidP="005424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542403">
              <w:rPr>
                <w:rFonts w:ascii="Arial" w:eastAsia="Times New Roman" w:hAnsi="Arial" w:cs="Arial"/>
                <w:color w:val="000000"/>
                <w:lang w:eastAsia="pl-PL"/>
              </w:rPr>
              <w:t>299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:rsidR="00542403" w:rsidRPr="00542403" w:rsidRDefault="00542403" w:rsidP="005424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542403">
              <w:rPr>
                <w:rFonts w:ascii="Arial" w:eastAsia="Times New Roman" w:hAnsi="Arial" w:cs="Arial"/>
                <w:color w:val="000000"/>
                <w:lang w:eastAsia="pl-PL"/>
              </w:rPr>
              <w:t>566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:rsidR="00542403" w:rsidRPr="00542403" w:rsidRDefault="00542403" w:rsidP="005424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542403">
              <w:rPr>
                <w:rFonts w:ascii="Arial" w:eastAsia="Times New Roman" w:hAnsi="Arial" w:cs="Arial"/>
                <w:color w:val="000000"/>
                <w:lang w:eastAsia="pl-PL"/>
              </w:rPr>
              <w:t>0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:rsidR="00542403" w:rsidRPr="00542403" w:rsidRDefault="00542403" w:rsidP="005424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542403">
              <w:rPr>
                <w:rFonts w:ascii="Arial" w:eastAsia="Times New Roman" w:hAnsi="Arial" w:cs="Arial"/>
                <w:color w:val="000000"/>
                <w:lang w:eastAsia="pl-PL"/>
              </w:rPr>
              <w:t>634</w:t>
            </w:r>
          </w:p>
        </w:tc>
        <w:tc>
          <w:tcPr>
            <w:tcW w:w="1140" w:type="dxa"/>
            <w:shd w:val="clear" w:color="auto" w:fill="auto"/>
            <w:noWrap/>
            <w:vAlign w:val="bottom"/>
            <w:hideMark/>
          </w:tcPr>
          <w:p w:rsidR="00542403" w:rsidRPr="00542403" w:rsidRDefault="00542403" w:rsidP="005424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542403">
              <w:rPr>
                <w:rFonts w:ascii="Arial" w:eastAsia="Times New Roman" w:hAnsi="Arial" w:cs="Arial"/>
                <w:color w:val="000000"/>
                <w:lang w:eastAsia="pl-PL"/>
              </w:rPr>
              <w:t>85635</w:t>
            </w:r>
          </w:p>
        </w:tc>
        <w:tc>
          <w:tcPr>
            <w:tcW w:w="1160" w:type="dxa"/>
            <w:shd w:val="clear" w:color="auto" w:fill="auto"/>
            <w:noWrap/>
            <w:vAlign w:val="bottom"/>
            <w:hideMark/>
          </w:tcPr>
          <w:p w:rsidR="00542403" w:rsidRPr="00542403" w:rsidRDefault="00542403" w:rsidP="0054240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542403">
              <w:rPr>
                <w:rFonts w:ascii="Arial" w:eastAsia="Times New Roman" w:hAnsi="Arial" w:cs="Arial"/>
                <w:color w:val="000000"/>
                <w:lang w:eastAsia="pl-PL"/>
              </w:rPr>
              <w:t>2466.03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:rsidR="00542403" w:rsidRPr="00542403" w:rsidRDefault="00542403" w:rsidP="0054240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542403">
              <w:rPr>
                <w:rFonts w:ascii="Arial" w:eastAsia="Times New Roman" w:hAnsi="Arial" w:cs="Arial"/>
                <w:color w:val="000000"/>
                <w:lang w:eastAsia="pl-PL"/>
              </w:rPr>
              <w:t>85697.2</w:t>
            </w:r>
          </w:p>
        </w:tc>
        <w:tc>
          <w:tcPr>
            <w:tcW w:w="880" w:type="dxa"/>
            <w:shd w:val="clear" w:color="auto" w:fill="auto"/>
            <w:noWrap/>
            <w:vAlign w:val="bottom"/>
            <w:hideMark/>
          </w:tcPr>
          <w:p w:rsidR="00542403" w:rsidRPr="00542403" w:rsidRDefault="00542403" w:rsidP="0054240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542403">
              <w:rPr>
                <w:rFonts w:ascii="Arial" w:eastAsia="Times New Roman" w:hAnsi="Arial" w:cs="Arial"/>
                <w:color w:val="000000"/>
                <w:lang w:eastAsia="pl-PL"/>
              </w:rPr>
              <w:t>2473.44</w:t>
            </w:r>
          </w:p>
        </w:tc>
      </w:tr>
      <w:tr w:rsidR="00542403" w:rsidRPr="00542403" w:rsidTr="00542403">
        <w:trPr>
          <w:trHeight w:val="285"/>
        </w:trPr>
        <w:tc>
          <w:tcPr>
            <w:tcW w:w="780" w:type="dxa"/>
            <w:shd w:val="clear" w:color="auto" w:fill="auto"/>
            <w:noWrap/>
            <w:vAlign w:val="bottom"/>
            <w:hideMark/>
          </w:tcPr>
          <w:p w:rsidR="00542403" w:rsidRPr="00542403" w:rsidRDefault="00542403" w:rsidP="005424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542403">
              <w:rPr>
                <w:rFonts w:ascii="Arial" w:eastAsia="Times New Roman" w:hAnsi="Arial" w:cs="Arial"/>
                <w:color w:val="000000"/>
                <w:lang w:eastAsia="pl-PL"/>
              </w:rPr>
              <w:t>11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:rsidR="00542403" w:rsidRPr="00542403" w:rsidRDefault="00542403" w:rsidP="005424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542403">
              <w:rPr>
                <w:rFonts w:ascii="Arial" w:eastAsia="Times New Roman" w:hAnsi="Arial" w:cs="Arial"/>
                <w:color w:val="000000"/>
                <w:lang w:eastAsia="pl-PL"/>
              </w:rPr>
              <w:t>156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:rsidR="00542403" w:rsidRPr="00542403" w:rsidRDefault="00542403" w:rsidP="005424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542403">
              <w:rPr>
                <w:rFonts w:ascii="Arial" w:eastAsia="Times New Roman" w:hAnsi="Arial" w:cs="Arial"/>
                <w:color w:val="000000"/>
                <w:lang w:eastAsia="pl-PL"/>
              </w:rPr>
              <w:t>933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:rsidR="00542403" w:rsidRPr="00542403" w:rsidRDefault="00542403" w:rsidP="005424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542403">
              <w:rPr>
                <w:rFonts w:ascii="Arial" w:eastAsia="Times New Roman" w:hAnsi="Arial" w:cs="Arial"/>
                <w:color w:val="000000"/>
                <w:lang w:eastAsia="pl-PL"/>
              </w:rPr>
              <w:t>231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:rsidR="00542403" w:rsidRPr="00542403" w:rsidRDefault="00542403" w:rsidP="005424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542403">
              <w:rPr>
                <w:rFonts w:ascii="Arial" w:eastAsia="Times New Roman" w:hAnsi="Arial" w:cs="Arial"/>
                <w:color w:val="000000"/>
                <w:lang w:eastAsia="pl-PL"/>
              </w:rPr>
              <w:t>604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:rsidR="00542403" w:rsidRPr="00542403" w:rsidRDefault="00542403" w:rsidP="005424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542403">
              <w:rPr>
                <w:rFonts w:ascii="Arial" w:eastAsia="Times New Roman" w:hAnsi="Arial" w:cs="Arial"/>
                <w:color w:val="000000"/>
                <w:lang w:eastAsia="pl-PL"/>
              </w:rPr>
              <w:t>365</w:t>
            </w:r>
          </w:p>
        </w:tc>
        <w:tc>
          <w:tcPr>
            <w:tcW w:w="1140" w:type="dxa"/>
            <w:shd w:val="clear" w:color="auto" w:fill="auto"/>
            <w:noWrap/>
            <w:vAlign w:val="bottom"/>
            <w:hideMark/>
          </w:tcPr>
          <w:p w:rsidR="00542403" w:rsidRPr="00542403" w:rsidRDefault="00542403" w:rsidP="005424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542403">
              <w:rPr>
                <w:rFonts w:ascii="Arial" w:eastAsia="Times New Roman" w:hAnsi="Arial" w:cs="Arial"/>
                <w:color w:val="000000"/>
                <w:lang w:eastAsia="pl-PL"/>
              </w:rPr>
              <w:t>99635</w:t>
            </w:r>
          </w:p>
        </w:tc>
        <w:tc>
          <w:tcPr>
            <w:tcW w:w="1160" w:type="dxa"/>
            <w:shd w:val="clear" w:color="auto" w:fill="auto"/>
            <w:noWrap/>
            <w:vAlign w:val="bottom"/>
            <w:hideMark/>
          </w:tcPr>
          <w:p w:rsidR="00542403" w:rsidRPr="00542403" w:rsidRDefault="00542403" w:rsidP="0054240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542403">
              <w:rPr>
                <w:rFonts w:ascii="Arial" w:eastAsia="Times New Roman" w:hAnsi="Arial" w:cs="Arial"/>
                <w:color w:val="000000"/>
                <w:lang w:eastAsia="pl-PL"/>
              </w:rPr>
              <w:t>2866.03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:rsidR="00542403" w:rsidRPr="00542403" w:rsidRDefault="00542403" w:rsidP="0054240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542403">
              <w:rPr>
                <w:rFonts w:ascii="Arial" w:eastAsia="Times New Roman" w:hAnsi="Arial" w:cs="Arial"/>
                <w:color w:val="000000"/>
                <w:lang w:eastAsia="pl-PL"/>
              </w:rPr>
              <w:t>99634.1</w:t>
            </w:r>
          </w:p>
        </w:tc>
        <w:tc>
          <w:tcPr>
            <w:tcW w:w="880" w:type="dxa"/>
            <w:shd w:val="clear" w:color="auto" w:fill="auto"/>
            <w:noWrap/>
            <w:vAlign w:val="bottom"/>
            <w:hideMark/>
          </w:tcPr>
          <w:p w:rsidR="00542403" w:rsidRPr="00542403" w:rsidRDefault="00542403" w:rsidP="0054240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542403">
              <w:rPr>
                <w:rFonts w:ascii="Arial" w:eastAsia="Times New Roman" w:hAnsi="Arial" w:cs="Arial"/>
                <w:color w:val="000000"/>
                <w:lang w:eastAsia="pl-PL"/>
              </w:rPr>
              <w:t>885.174</w:t>
            </w:r>
          </w:p>
        </w:tc>
      </w:tr>
      <w:tr w:rsidR="00542403" w:rsidRPr="00542403" w:rsidTr="00542403">
        <w:trPr>
          <w:trHeight w:val="285"/>
        </w:trPr>
        <w:tc>
          <w:tcPr>
            <w:tcW w:w="780" w:type="dxa"/>
            <w:shd w:val="clear" w:color="auto" w:fill="auto"/>
            <w:noWrap/>
            <w:vAlign w:val="bottom"/>
            <w:hideMark/>
          </w:tcPr>
          <w:p w:rsidR="00542403" w:rsidRPr="00542403" w:rsidRDefault="00542403" w:rsidP="005424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542403">
              <w:rPr>
                <w:rFonts w:ascii="Arial" w:eastAsia="Times New Roman" w:hAnsi="Arial" w:cs="Arial"/>
                <w:color w:val="000000"/>
                <w:lang w:eastAsia="pl-PL"/>
              </w:rPr>
              <w:t>3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:rsidR="00542403" w:rsidRPr="00542403" w:rsidRDefault="00542403" w:rsidP="005424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542403">
              <w:rPr>
                <w:rFonts w:ascii="Arial" w:eastAsia="Times New Roman" w:hAnsi="Arial" w:cs="Arial"/>
                <w:color w:val="000000"/>
                <w:lang w:eastAsia="pl-PL"/>
              </w:rPr>
              <w:t>141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:rsidR="00542403" w:rsidRPr="00542403" w:rsidRDefault="00542403" w:rsidP="005424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542403">
              <w:rPr>
                <w:rFonts w:ascii="Arial" w:eastAsia="Times New Roman" w:hAnsi="Arial" w:cs="Arial"/>
                <w:color w:val="000000"/>
                <w:lang w:eastAsia="pl-PL"/>
              </w:rPr>
              <w:t>956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:rsidR="00542403" w:rsidRPr="00542403" w:rsidRDefault="00542403" w:rsidP="005424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542403">
              <w:rPr>
                <w:rFonts w:ascii="Arial" w:eastAsia="Times New Roman" w:hAnsi="Arial" w:cs="Arial"/>
                <w:color w:val="000000"/>
                <w:lang w:eastAsia="pl-PL"/>
              </w:rPr>
              <w:t>856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:rsidR="00542403" w:rsidRPr="00542403" w:rsidRDefault="00542403" w:rsidP="005424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542403">
              <w:rPr>
                <w:rFonts w:ascii="Arial" w:eastAsia="Times New Roman" w:hAnsi="Arial" w:cs="Arial"/>
                <w:color w:val="000000"/>
                <w:lang w:eastAsia="pl-PL"/>
              </w:rPr>
              <w:t>0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:rsidR="00542403" w:rsidRPr="00542403" w:rsidRDefault="00542403" w:rsidP="005424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542403">
              <w:rPr>
                <w:rFonts w:ascii="Arial" w:eastAsia="Times New Roman" w:hAnsi="Arial" w:cs="Arial"/>
                <w:color w:val="000000"/>
                <w:lang w:eastAsia="pl-PL"/>
              </w:rPr>
              <w:t>344</w:t>
            </w:r>
          </w:p>
        </w:tc>
        <w:tc>
          <w:tcPr>
            <w:tcW w:w="1140" w:type="dxa"/>
            <w:shd w:val="clear" w:color="auto" w:fill="auto"/>
            <w:noWrap/>
            <w:vAlign w:val="bottom"/>
            <w:hideMark/>
          </w:tcPr>
          <w:p w:rsidR="00542403" w:rsidRPr="00542403" w:rsidRDefault="00542403" w:rsidP="0054240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542403">
              <w:rPr>
                <w:rFonts w:ascii="Arial" w:eastAsia="Times New Roman" w:hAnsi="Arial" w:cs="Arial"/>
                <w:color w:val="000000"/>
                <w:lang w:eastAsia="pl-PL"/>
              </w:rPr>
              <w:t>99635</w:t>
            </w:r>
          </w:p>
        </w:tc>
        <w:tc>
          <w:tcPr>
            <w:tcW w:w="1160" w:type="dxa"/>
            <w:shd w:val="clear" w:color="auto" w:fill="auto"/>
            <w:noWrap/>
            <w:vAlign w:val="bottom"/>
            <w:hideMark/>
          </w:tcPr>
          <w:p w:rsidR="00542403" w:rsidRPr="00542403" w:rsidRDefault="00542403" w:rsidP="0054240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542403">
              <w:rPr>
                <w:rFonts w:ascii="Arial" w:eastAsia="Times New Roman" w:hAnsi="Arial" w:cs="Arial"/>
                <w:color w:val="000000"/>
                <w:lang w:eastAsia="pl-PL"/>
              </w:rPr>
              <w:t>3066.03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:rsidR="00542403" w:rsidRPr="00542403" w:rsidRDefault="00542403" w:rsidP="0054240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542403">
              <w:rPr>
                <w:rFonts w:ascii="Arial" w:eastAsia="Times New Roman" w:hAnsi="Arial" w:cs="Arial"/>
                <w:color w:val="000000"/>
                <w:lang w:eastAsia="pl-PL"/>
              </w:rPr>
              <w:t>94385.3</w:t>
            </w:r>
          </w:p>
        </w:tc>
        <w:tc>
          <w:tcPr>
            <w:tcW w:w="880" w:type="dxa"/>
            <w:shd w:val="clear" w:color="auto" w:fill="auto"/>
            <w:noWrap/>
            <w:vAlign w:val="bottom"/>
            <w:hideMark/>
          </w:tcPr>
          <w:p w:rsidR="00542403" w:rsidRPr="00542403" w:rsidRDefault="00542403" w:rsidP="0054240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542403">
              <w:rPr>
                <w:rFonts w:ascii="Arial" w:eastAsia="Times New Roman" w:hAnsi="Arial" w:cs="Arial"/>
                <w:color w:val="000000"/>
                <w:lang w:eastAsia="pl-PL"/>
              </w:rPr>
              <w:t>2269.65</w:t>
            </w:r>
          </w:p>
        </w:tc>
      </w:tr>
    </w:tbl>
    <w:p w:rsidR="00542403" w:rsidRDefault="00542403" w:rsidP="00542403">
      <w:r>
        <w:t>Tab.3 Rozwiązania efektywne wykorzystane celem sprawdzenia dominacji stochastycznej</w:t>
      </w:r>
    </w:p>
    <w:p w:rsidR="00C2685A" w:rsidRDefault="00C2685A" w:rsidP="00542403">
      <w:r>
        <w:t>Wartości potrzebne dla zobrazowania dyst</w:t>
      </w:r>
      <w:r w:rsidR="00227F10">
        <w:t>rybuant zostały obliczone w VBA.</w:t>
      </w:r>
    </w:p>
    <w:p w:rsidR="00C2685A" w:rsidRDefault="00C2685A">
      <w:r>
        <w:br w:type="page"/>
      </w:r>
    </w:p>
    <w:p w:rsidR="00542403" w:rsidRDefault="00542403" w:rsidP="00542403">
      <w:pPr>
        <w:pStyle w:val="Akapitzlist"/>
        <w:numPr>
          <w:ilvl w:val="2"/>
          <w:numId w:val="1"/>
        </w:numPr>
      </w:pPr>
      <w:r>
        <w:lastRenderedPageBreak/>
        <w:t>Sprawdzenie dominacji stochastycznej kosztu</w:t>
      </w:r>
    </w:p>
    <w:p w:rsidR="00542403" w:rsidRDefault="00542403" w:rsidP="00542403">
      <w:r>
        <w:rPr>
          <w:noProof/>
          <w:lang w:eastAsia="pl-PL"/>
        </w:rPr>
        <w:drawing>
          <wp:inline distT="0" distB="0" distL="0" distR="0">
            <wp:extent cx="5760720" cy="4071319"/>
            <wp:effectExtent l="19050" t="0" r="0" b="0"/>
            <wp:docPr id="1" name="Obraz 1" descr="C:\Users\Mateusz\Desktop\WDWR\Projekt mój\dystrybuanty wektorow koszt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eusz\Desktop\WDWR\Projekt mój\dystrybuanty wektorow kosztu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71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403" w:rsidRDefault="00542403" w:rsidP="00542403">
      <w:r>
        <w:t>Rys.3 Dystrybuanty wektorów kosztu</w:t>
      </w:r>
    </w:p>
    <w:p w:rsidR="00C2685A" w:rsidRDefault="00C2685A" w:rsidP="00542403">
      <w:r>
        <w:t>Z powyższego wykresu wynika, że nie zachodzi „ścisła” dominacja stochastyczna przy minimalizacji kosztu. Żadna z dystrybuant nie dominuje innej stochastycznie.</w:t>
      </w:r>
    </w:p>
    <w:p w:rsidR="00C2685A" w:rsidRDefault="00C2685A">
      <w:r>
        <w:br w:type="page"/>
      </w:r>
    </w:p>
    <w:p w:rsidR="00542403" w:rsidRDefault="00542403" w:rsidP="00542403">
      <w:pPr>
        <w:pStyle w:val="Akapitzlist"/>
        <w:numPr>
          <w:ilvl w:val="2"/>
          <w:numId w:val="1"/>
        </w:numPr>
      </w:pPr>
      <w:r>
        <w:lastRenderedPageBreak/>
        <w:t>Sprawdzenie dominacji stochastycznej ryzyka</w:t>
      </w:r>
    </w:p>
    <w:p w:rsidR="00542403" w:rsidRDefault="00542403" w:rsidP="00542403">
      <w:r>
        <w:rPr>
          <w:noProof/>
          <w:lang w:eastAsia="pl-PL"/>
        </w:rPr>
        <w:drawing>
          <wp:inline distT="0" distB="0" distL="0" distR="0">
            <wp:extent cx="5760720" cy="4071319"/>
            <wp:effectExtent l="19050" t="0" r="0" b="0"/>
            <wp:docPr id="2" name="Obraz 2" descr="C:\Users\Mateusz\Desktop\WDWR\Projekt mój\Dystrybuanty wektorow ryzy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teusz\Desktop\WDWR\Projekt mój\Dystrybuanty wektorow ryzyka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71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403" w:rsidRDefault="00542403" w:rsidP="00542403">
      <w:r>
        <w:t>Rys.4 Dystrybuanty wektorów ryzyka</w:t>
      </w:r>
    </w:p>
    <w:p w:rsidR="00C2685A" w:rsidRDefault="00C2685A" w:rsidP="00C2685A">
      <w:r>
        <w:t>Na podstawie powyższego wykresu można wyciągnąć podobne wnioski jak dla dystrybuant kosztu. Nie zachodzi „ścisła” dominacja stochastyczna przy minimalizacji ryzyka. Żadna z dystrybuant nie dominuje innej stochastycznie.</w:t>
      </w:r>
    </w:p>
    <w:p w:rsidR="00542403" w:rsidRPr="00542403" w:rsidRDefault="00542403" w:rsidP="00542403"/>
    <w:p w:rsidR="00542403" w:rsidRDefault="00C2685A" w:rsidP="00C2685A">
      <w:pPr>
        <w:pStyle w:val="Akapitzlist"/>
        <w:numPr>
          <w:ilvl w:val="0"/>
          <w:numId w:val="1"/>
        </w:numPr>
      </w:pPr>
      <w:r>
        <w:t>Wnioski</w:t>
      </w:r>
    </w:p>
    <w:p w:rsidR="00C2685A" w:rsidRDefault="00C2685A" w:rsidP="00C2685A">
      <w:r>
        <w:t>W trakcie budowy i testowania modelu zauważono, że liczba scenariuszy ma ogromn</w:t>
      </w:r>
      <w:r w:rsidR="00CE12E5">
        <w:t>y wpływ na czas obliczeń optymalizacyjnych pakiety CPLEX. Zbyt duża liczba scenariuszy powoduje bardzo długi czas wykonywania obliczeń. Uznano, że 100 scenariuszy wprowadza odpowiedni stopień skomplikowania zadania, a jednocześnie jest optymalne pod kątem czasu wykonywania obliczeń.</w:t>
      </w:r>
    </w:p>
    <w:p w:rsidR="00CE12E5" w:rsidRDefault="00CE12E5" w:rsidP="00C2685A">
      <w:r>
        <w:t>Rysunek 2 pokazuje, że zależność przyjętej miary ryzyka od miary kosztu jest zbliżona do funkcji liniowej. Przy dobieraniu miar kosztu i ryzyka należy mieć na uwadze fakt, że kształt obrazu przestrzeni koszt – ryzyko jest również zależny od przyjętych miar. Nie należy utożsamiać miary ryzyka z abstrakcyjnym pojęciem ryzyka.</w:t>
      </w:r>
    </w:p>
    <w:p w:rsidR="00C2685A" w:rsidRPr="00521AFF" w:rsidRDefault="00C2685A" w:rsidP="00C2685A"/>
    <w:sectPr w:rsidR="00C2685A" w:rsidRPr="00521AFF" w:rsidSect="008D640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E08705A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hyphenationZone w:val="425"/>
  <w:characterSpacingControl w:val="doNotCompress"/>
  <w:compat/>
  <w:rsids>
    <w:rsidRoot w:val="000630C0"/>
    <w:rsid w:val="000630C0"/>
    <w:rsid w:val="000A5FEA"/>
    <w:rsid w:val="000C56F1"/>
    <w:rsid w:val="002218AE"/>
    <w:rsid w:val="00225CEF"/>
    <w:rsid w:val="00227F10"/>
    <w:rsid w:val="00321604"/>
    <w:rsid w:val="004A513D"/>
    <w:rsid w:val="00521AFF"/>
    <w:rsid w:val="00523573"/>
    <w:rsid w:val="00542403"/>
    <w:rsid w:val="006D537B"/>
    <w:rsid w:val="007B4E5A"/>
    <w:rsid w:val="00826E7A"/>
    <w:rsid w:val="008D640D"/>
    <w:rsid w:val="00AC59B2"/>
    <w:rsid w:val="00C2685A"/>
    <w:rsid w:val="00CE12E5"/>
    <w:rsid w:val="00EB1BE5"/>
    <w:rsid w:val="00F14B70"/>
    <w:rsid w:val="00FC6D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8D640D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0630C0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0630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0630C0"/>
    <w:rPr>
      <w:rFonts w:ascii="Tahoma" w:hAnsi="Tahoma" w:cs="Tahoma"/>
      <w:sz w:val="16"/>
      <w:szCs w:val="16"/>
    </w:rPr>
  </w:style>
  <w:style w:type="character" w:styleId="Tekstzastpczy">
    <w:name w:val="Placeholder Text"/>
    <w:basedOn w:val="Domylnaczcionkaakapitu"/>
    <w:uiPriority w:val="99"/>
    <w:semiHidden/>
    <w:rsid w:val="000A5FEA"/>
    <w:rPr>
      <w:color w:val="808080"/>
    </w:rPr>
  </w:style>
  <w:style w:type="table" w:styleId="Tabela-Siatka">
    <w:name w:val="Table Grid"/>
    <w:basedOn w:val="Standardowy"/>
    <w:uiPriority w:val="59"/>
    <w:rsid w:val="00EB1BE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2674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7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10</Pages>
  <Words>1544</Words>
  <Characters>9269</Characters>
  <Application>Microsoft Office Word</Application>
  <DocSecurity>0</DocSecurity>
  <Lines>77</Lines>
  <Paragraphs>21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Mateusz Domagała</dc:creator>
  <cp:lastModifiedBy>Mateusz Domagała</cp:lastModifiedBy>
  <cp:revision>6</cp:revision>
  <dcterms:created xsi:type="dcterms:W3CDTF">2016-05-27T07:08:00Z</dcterms:created>
  <dcterms:modified xsi:type="dcterms:W3CDTF">2016-05-27T21:53:00Z</dcterms:modified>
</cp:coreProperties>
</file>