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RAINSCALES TICKET</w:t>
      </w:r>
    </w:p>
    <w:p>
      <w:pPr>
        <w:pStyle w:val="Subtitle"/>
      </w:pPr>
      <w:r>
        <w:t>BÁO CÁO ĐỐI CHIẾU</w:t>
        <w:br/>
        <w:t>TÀI LIỆU – FE – BE</w:t>
      </w:r>
    </w:p>
    <w:p>
      <w:r>
        <w:t>Ngày kiểm tra: 22/10/2026 • Chế độ: chỉ đọc nghiệp vụ</w:t>
      </w:r>
    </w:p>
    <w:p>
      <w:r>
        <w:t>Kết luận: CHƯA ĐỦ ĐIỀU KIỆN xác nhận toàn bộ FE đã khớp BE. Đường dẫn và nhiều payload chính khớp, các màn đọc hoạt động, nhưng còn các điểm lệch nghiệp vụ/quyền cần xử lý trước khi nghiệm thu.</w:t>
      </w:r>
    </w:p>
    <w:tbl>
      <w:tblPr>
        <w:tblStyle w:val="TableGrid"/>
        <w:tblW w:type="auto" w:w="0"/>
        <w:jc w:val="center"/>
        <w:tblLayout w:type="fixed"/>
        <w:tblLook w:firstColumn="1" w:firstRow="1" w:lastColumn="0" w:lastRow="0" w:noHBand="0" w:noVBand="1" w:val="04A0"/>
      </w:tblPr>
      <w:tblGrid>
        <w:gridCol w:w="2835"/>
        <w:gridCol w:w="6803"/>
      </w:tblGrid>
      <w:tr>
        <w:trPr>
          <w:tblHeader/>
          <w:cantSplit/>
        </w:trPr>
        <w:tc>
          <w:tcPr>
            <w:tcW w:type="dxa" w:w="4819"/>
            <w:shd w:fill="6468AF"/>
            <w:vAlign w:val="center"/>
          </w:tcPr>
          <w:p>
            <w:pPr>
              <w:spacing w:after="80" w:before="80" w:line="252" w:lineRule="auto"/>
            </w:pPr>
            <w:r>
              <w:rPr>
                <w:b/>
                <w:color w:val="FFFFFF"/>
                <w:sz w:val="18"/>
              </w:rPr>
              <w:t>Phần kiểm tra</w:t>
            </w:r>
          </w:p>
        </w:tc>
        <w:tc>
          <w:tcPr>
            <w:tcW w:type="dxa" w:w="4819"/>
            <w:shd w:fill="6468AF"/>
            <w:vAlign w:val="center"/>
          </w:tcPr>
          <w:p>
            <w:pPr>
              <w:spacing w:after="80" w:before="80" w:line="252" w:lineRule="auto"/>
            </w:pPr>
            <w:r>
              <w:rPr>
                <w:b/>
                <w:color w:val="FFFFFF"/>
                <w:sz w:val="18"/>
              </w:rPr>
              <w:t>Kết quả / giới hạn</w:t>
            </w:r>
          </w:p>
        </w:tc>
      </w:tr>
      <w:tr>
        <w:trPr>
          <w:cantSplit/>
        </w:trPr>
        <w:tc>
          <w:tcPr>
            <w:tcW w:type="dxa" w:w="2835"/>
            <w:vAlign w:val="center"/>
          </w:tcPr>
          <w:p>
            <w:pPr>
              <w:spacing w:after="80" w:before="80" w:line="252" w:lineRule="auto"/>
            </w:pPr>
            <w:r>
              <w:rPr>
                <w:sz w:val="18"/>
              </w:rPr>
              <w:t>Tài liệu</w:t>
            </w:r>
          </w:p>
        </w:tc>
        <w:tc>
          <w:tcPr>
            <w:tcW w:type="dxa" w:w="6803"/>
            <w:vAlign w:val="center"/>
          </w:tcPr>
          <w:p>
            <w:pPr>
              <w:spacing w:after="80" w:before="80" w:line="252" w:lineRule="auto"/>
            </w:pPr>
            <w:r>
              <w:rPr>
                <w:sz w:val="18"/>
              </w:rPr>
              <w:t>Đã trích đọc lại toàn bộ file hướng dẫn 29 trang, 17 chương, 27 bảng.</w:t>
            </w:r>
          </w:p>
        </w:tc>
      </w:tr>
      <w:tr>
        <w:trPr>
          <w:cantSplit/>
        </w:trPr>
        <w:tc>
          <w:tcPr>
            <w:tcW w:type="dxa" w:w="2835"/>
            <w:vAlign w:val="center"/>
          </w:tcPr>
          <w:p>
            <w:pPr>
              <w:spacing w:after="80" w:before="80" w:line="252" w:lineRule="auto"/>
            </w:pPr>
            <w:r>
              <w:rPr>
                <w:sz w:val="18"/>
              </w:rPr>
              <w:t>Source BE</w:t>
            </w:r>
          </w:p>
        </w:tc>
        <w:tc>
          <w:tcPr>
            <w:tcW w:type="dxa" w:w="6803"/>
            <w:vAlign w:val="center"/>
          </w:tcPr>
          <w:p>
            <w:pPr>
              <w:spacing w:after="80" w:before="80" w:line="252" w:lineRule="auto"/>
            </w:pPr>
            <w:r>
              <w:rPr>
                <w:sz w:val="18"/>
              </w:rPr>
              <w:t>Đọc qua SSH 12 file nghiệp vụ, 8.791 dòng; bổ sung middleware và riêng tên lớp quyền mặc định. Không sửa BE, không chạy migration hoặc ghi DB.</w:t>
            </w:r>
          </w:p>
        </w:tc>
      </w:tr>
      <w:tr>
        <w:trPr>
          <w:cantSplit/>
        </w:trPr>
        <w:tc>
          <w:tcPr>
            <w:tcW w:type="dxa" w:w="2835"/>
            <w:vAlign w:val="center"/>
          </w:tcPr>
          <w:p>
            <w:pPr>
              <w:spacing w:after="80" w:before="80" w:line="252" w:lineRule="auto"/>
            </w:pPr>
            <w:r>
              <w:rPr>
                <w:sz w:val="18"/>
              </w:rPr>
              <w:t>Khai báo endpoint</w:t>
            </w:r>
          </w:p>
        </w:tc>
        <w:tc>
          <w:tcPr>
            <w:tcW w:type="dxa" w:w="6803"/>
            <w:vAlign w:val="center"/>
          </w:tcPr>
          <w:p>
            <w:pPr>
              <w:spacing w:after="80" w:before="80" w:line="252" w:lineRule="auto"/>
            </w:pPr>
            <w:r>
              <w:rPr>
                <w:sz w:val="18"/>
              </w:rPr>
              <w:t>74 mẫu route được ánh xạ tự động giữa FE và BE. Các route động còn lại được rà tay: chi tiết CV, chi tiết yêu cầu tuyển dụng và tải tệp ghi chú đều có trong urls.py.</w:t>
            </w:r>
          </w:p>
        </w:tc>
      </w:tr>
      <w:tr>
        <w:trPr>
          <w:cantSplit/>
        </w:trPr>
        <w:tc>
          <w:tcPr>
            <w:tcW w:type="dxa" w:w="2835"/>
            <w:vAlign w:val="center"/>
          </w:tcPr>
          <w:p>
            <w:pPr>
              <w:spacing w:after="80" w:before="80" w:line="252" w:lineRule="auto"/>
            </w:pPr>
            <w:r>
              <w:rPr>
                <w:sz w:val="18"/>
              </w:rPr>
              <w:t>API thật</w:t>
            </w:r>
          </w:p>
        </w:tc>
        <w:tc>
          <w:tcPr>
            <w:tcW w:type="dxa" w:w="6803"/>
            <w:vAlign w:val="center"/>
          </w:tcPr>
          <w:p>
            <w:pPr>
              <w:spacing w:after="80" w:before="80" w:line="252" w:lineRule="auto"/>
            </w:pPr>
            <w:r>
              <w:rPr>
                <w:sz w:val="18"/>
              </w:rPr>
              <w:t>37/37 GET trả HTTP 200 bằng tài khoản admin; chỉ lưu metadata/shape, không lưu nội dung cá nhân. POST duy nhất của lượt smoke là đăng nhập.</w:t>
            </w:r>
          </w:p>
        </w:tc>
      </w:tr>
      <w:tr>
        <w:trPr>
          <w:cantSplit/>
        </w:trPr>
        <w:tc>
          <w:tcPr>
            <w:tcW w:type="dxa" w:w="2835"/>
            <w:vAlign w:val="center"/>
          </w:tcPr>
          <w:p>
            <w:pPr>
              <w:spacing w:after="80" w:before="80" w:line="252" w:lineRule="auto"/>
            </w:pPr>
            <w:r>
              <w:rPr>
                <w:sz w:val="18"/>
              </w:rPr>
              <w:t>Contract nghiệp vụ</w:t>
            </w:r>
          </w:p>
        </w:tc>
        <w:tc>
          <w:tcPr>
            <w:tcW w:type="dxa" w:w="6803"/>
            <w:vAlign w:val="center"/>
          </w:tcPr>
          <w:p>
            <w:pPr>
              <w:spacing w:after="80" w:before="80" w:line="252" w:lineRule="auto"/>
            </w:pPr>
            <w:r>
              <w:rPr>
                <w:sz w:val="18"/>
              </w:rPr>
              <w:t>12 kiểm chứng cô lập/static đều xác nhận đúng hiện trạng đã phát hiện; đây không phải 12 chức năng đã đạt yêu cầu.</w:t>
            </w:r>
          </w:p>
        </w:tc>
      </w:tr>
      <w:tr>
        <w:trPr>
          <w:cantSplit/>
        </w:trPr>
        <w:tc>
          <w:tcPr>
            <w:tcW w:type="dxa" w:w="2835"/>
            <w:vAlign w:val="center"/>
          </w:tcPr>
          <w:p>
            <w:pPr>
              <w:spacing w:after="80" w:before="80" w:line="252" w:lineRule="auto"/>
            </w:pPr>
            <w:r>
              <w:rPr>
                <w:sz w:val="18"/>
              </w:rPr>
              <w:t>Test FE</w:t>
            </w:r>
          </w:p>
        </w:tc>
        <w:tc>
          <w:tcPr>
            <w:tcW w:type="dxa" w:w="6803"/>
            <w:vAlign w:val="center"/>
          </w:tcPr>
          <w:p>
            <w:pPr>
              <w:spacing w:after="80" w:before="80" w:line="252" w:lineRule="auto"/>
            </w:pPr>
            <w:r>
              <w:rPr>
                <w:sz w:val="18"/>
              </w:rPr>
              <w:t>4 file / 270 tests đạt. API trong bộ FE được mock; kết quả không phủ nhận các lỗi hợp đồng BE phát hiện từ source.</w:t>
            </w:r>
          </w:p>
        </w:tc>
      </w:tr>
      <w:tr>
        <w:trPr>
          <w:cantSplit/>
        </w:trPr>
        <w:tc>
          <w:tcPr>
            <w:tcW w:type="dxa" w:w="2835"/>
            <w:vAlign w:val="center"/>
          </w:tcPr>
          <w:p>
            <w:pPr>
              <w:spacing w:after="80" w:before="80" w:line="252" w:lineRule="auto"/>
            </w:pPr>
            <w:r>
              <w:rPr>
                <w:sz w:val="18"/>
              </w:rPr>
              <w:t>Thao tác ghi thật</w:t>
            </w:r>
          </w:p>
        </w:tc>
        <w:tc>
          <w:tcPr>
            <w:tcW w:type="dxa" w:w="6803"/>
            <w:vAlign w:val="center"/>
          </w:tcPr>
          <w:p>
            <w:pPr>
              <w:spacing w:after="80" w:before="80" w:line="252" w:lineRule="auto"/>
            </w:pPr>
            <w:r>
              <w:rPr>
                <w:sz w:val="18"/>
              </w:rPr>
              <w:t>Không thực hiện trong lượt này. Các ca tạo/sửa/xóa, vượt quyền, file lớn và mất mạng chỉ đối chiếu source hoặc bằng chứng live cũ.</w:t>
            </w:r>
          </w:p>
        </w:tc>
      </w:tr>
    </w:tbl>
    <w:p/>
    <w:p>
      <w:pPr>
        <w:pStyle w:val="Heading1"/>
      </w:pPr>
      <w:r>
        <w:t>1. Những nhóm đã khớp ở mức hợp đồng</w:t>
      </w:r>
    </w:p>
    <w:tbl>
      <w:tblPr>
        <w:tblStyle w:val="TableGrid"/>
        <w:tblW w:type="auto" w:w="0"/>
        <w:jc w:val="center"/>
        <w:tblLayout w:type="fixed"/>
        <w:tblLook w:firstColumn="1" w:firstRow="1" w:lastColumn="0" w:lastRow="0" w:noHBand="0" w:noVBand="1" w:val="04A0"/>
      </w:tblPr>
      <w:tblGrid>
        <w:gridCol w:w="2268"/>
        <w:gridCol w:w="3969"/>
        <w:gridCol w:w="3402"/>
      </w:tblGrid>
      <w:tr>
        <w:trPr>
          <w:tblHeader/>
          <w:cantSplit/>
        </w:trPr>
        <w:tc>
          <w:tcPr>
            <w:tcW w:type="dxa" w:w="3213"/>
            <w:shd w:fill="6468AF"/>
            <w:vAlign w:val="center"/>
          </w:tcPr>
          <w:p>
            <w:pPr>
              <w:spacing w:after="80" w:before="80" w:line="252" w:lineRule="auto"/>
            </w:pPr>
            <w:r>
              <w:rPr>
                <w:b/>
                <w:color w:val="FFFFFF"/>
                <w:sz w:val="18"/>
              </w:rPr>
              <w:t>Nhóm</w:t>
            </w:r>
          </w:p>
        </w:tc>
        <w:tc>
          <w:tcPr>
            <w:tcW w:type="dxa" w:w="3213"/>
            <w:shd w:fill="6468AF"/>
            <w:vAlign w:val="center"/>
          </w:tcPr>
          <w:p>
            <w:pPr>
              <w:spacing w:after="80" w:before="80" w:line="252" w:lineRule="auto"/>
            </w:pPr>
            <w:r>
              <w:rPr>
                <w:b/>
                <w:color w:val="FFFFFF"/>
                <w:sz w:val="18"/>
              </w:rPr>
              <w:t>Đối chiếu</w:t>
            </w:r>
          </w:p>
        </w:tc>
        <w:tc>
          <w:tcPr>
            <w:tcW w:type="dxa" w:w="3213"/>
            <w:shd w:fill="6468AF"/>
            <w:vAlign w:val="center"/>
          </w:tcPr>
          <w:p>
            <w:pPr>
              <w:spacing w:after="80" w:before="80" w:line="252" w:lineRule="auto"/>
            </w:pPr>
            <w:r>
              <w:rPr>
                <w:b/>
                <w:color w:val="FFFFFF"/>
                <w:sz w:val="18"/>
              </w:rPr>
              <w:t>Cần hiểu đúng</w:t>
            </w:r>
          </w:p>
        </w:tc>
      </w:tr>
      <w:tr>
        <w:trPr>
          <w:cantSplit/>
        </w:trPr>
        <w:tc>
          <w:tcPr>
            <w:tcW w:type="dxa" w:w="2268"/>
            <w:vAlign w:val="center"/>
          </w:tcPr>
          <w:p>
            <w:pPr>
              <w:spacing w:after="80" w:before="80" w:line="252" w:lineRule="auto"/>
            </w:pPr>
            <w:r>
              <w:rPr>
                <w:sz w:val="18"/>
              </w:rPr>
              <w:t>Đăng nhập / làm mới phiên</w:t>
            </w:r>
          </w:p>
        </w:tc>
        <w:tc>
          <w:tcPr>
            <w:tcW w:type="dxa" w:w="3969"/>
            <w:vAlign w:val="center"/>
          </w:tcPr>
          <w:p>
            <w:pPr>
              <w:spacing w:after="80" w:before="80" w:line="252" w:lineRule="auto"/>
            </w:pPr>
            <w:r>
              <w:rPr>
                <w:sz w:val="18"/>
              </w:rPr>
              <w:t>token, token/refresh, list_permission; frontend đọc access/refresh và cấu trúc thông tin quyền.</w:t>
            </w:r>
          </w:p>
        </w:tc>
        <w:tc>
          <w:tcPr>
            <w:tcW w:type="dxa" w:w="3402"/>
            <w:vAlign w:val="center"/>
          </w:tcPr>
          <w:p>
            <w:pPr>
              <w:spacing w:after="80" w:before="80" w:line="252" w:lineRule="auto"/>
            </w:pPr>
            <w:r>
              <w:rPr>
                <w:sz w:val="18"/>
              </w:rPr>
              <w:t>User thiếu chức vụ vẫn là lỗi BE nêu ở A11.</w:t>
            </w:r>
          </w:p>
        </w:tc>
      </w:tr>
      <w:tr>
        <w:trPr>
          <w:cantSplit/>
        </w:trPr>
        <w:tc>
          <w:tcPr>
            <w:tcW w:type="dxa" w:w="2268"/>
            <w:vAlign w:val="center"/>
          </w:tcPr>
          <w:p>
            <w:pPr>
              <w:spacing w:after="80" w:before="80" w:line="252" w:lineRule="auto"/>
            </w:pPr>
            <w:r>
              <w:rPr>
                <w:sz w:val="18"/>
              </w:rPr>
              <w:t>Danh sách yêu cầu/phê duyệt/nhiệm vụ</w:t>
            </w:r>
          </w:p>
        </w:tc>
        <w:tc>
          <w:tcPr>
            <w:tcW w:type="dxa" w:w="3969"/>
            <w:vAlign w:val="center"/>
          </w:tcPr>
          <w:p>
            <w:pPr>
              <w:spacing w:after="80" w:before="80" w:line="252" w:lineRule="auto"/>
            </w:pPr>
            <w:r>
              <w:rPr>
                <w:sz w:val="18"/>
              </w:rPr>
              <w:t>Đúng endpoint và phạm vi typeView; FE gửi các tham số sắp xếp bắt buộc, xử lý status theo ID/tên phù hợp từng danh sách.</w:t>
            </w:r>
          </w:p>
        </w:tc>
        <w:tc>
          <w:tcPr>
            <w:tcW w:type="dxa" w:w="3402"/>
            <w:vAlign w:val="center"/>
          </w:tcPr>
          <w:p>
            <w:pPr>
              <w:spacing w:after="80" w:before="80" w:line="252" w:lineRule="auto"/>
            </w:pPr>
            <w:r>
              <w:rPr>
                <w:sz w:val="18"/>
              </w:rPr>
              <w:t>GET thành công không chứng minh quyền ghi được bảo vệ.</w:t>
            </w:r>
          </w:p>
        </w:tc>
      </w:tr>
      <w:tr>
        <w:trPr>
          <w:cantSplit/>
        </w:trPr>
        <w:tc>
          <w:tcPr>
            <w:tcW w:type="dxa" w:w="2268"/>
            <w:vAlign w:val="center"/>
          </w:tcPr>
          <w:p>
            <w:pPr>
              <w:spacing w:after="80" w:before="80" w:line="252" w:lineRule="auto"/>
            </w:pPr>
            <w:r>
              <w:rPr>
                <w:sz w:val="18"/>
              </w:rPr>
              <w:t>Tạo mới / clone</w:t>
            </w:r>
          </w:p>
        </w:tc>
        <w:tc>
          <w:tcPr>
            <w:tcW w:type="dxa" w:w="3969"/>
            <w:vAlign w:val="center"/>
          </w:tcPr>
          <w:p>
            <w:pPr>
              <w:spacing w:after="80" w:before="80" w:line="252" w:lineRule="auto"/>
            </w:pPr>
            <w:r>
              <w:rPr>
                <w:sz w:val="18"/>
              </w:rPr>
              <w:t>ticket_manager nhận JSON, formDataTicket; tệp dùng attachmentticketfile multipart. Clone là quy trình FE tạo một ticket mới, không cần endpoint clone.</w:t>
            </w:r>
          </w:p>
        </w:tc>
        <w:tc>
          <w:tcPr>
            <w:tcW w:type="dxa" w:w="3402"/>
            <w:vAlign w:val="center"/>
          </w:tcPr>
          <w:p>
            <w:pPr>
              <w:spacing w:after="80" w:before="80" w:line="252" w:lineRule="auto"/>
            </w:pPr>
            <w:r>
              <w:rPr>
                <w:sz w:val="18"/>
              </w:rPr>
              <w:t>Không có cam kết idempotency khi server đã tạo nhưng response bị mất. Hướng dẫn đã yêu cầu kiểm tra danh sách trước khi gửi lại.</w:t>
            </w:r>
          </w:p>
        </w:tc>
      </w:tr>
      <w:tr>
        <w:trPr>
          <w:cantSplit/>
        </w:trPr>
        <w:tc>
          <w:tcPr>
            <w:tcW w:type="dxa" w:w="2268"/>
            <w:vAlign w:val="center"/>
          </w:tcPr>
          <w:p>
            <w:pPr>
              <w:spacing w:after="80" w:before="80" w:line="252" w:lineRule="auto"/>
            </w:pPr>
            <w:r>
              <w:rPr>
                <w:sz w:val="18"/>
              </w:rPr>
              <w:t>Phân công / hoàn thành</w:t>
            </w:r>
          </w:p>
        </w:tc>
        <w:tc>
          <w:tcPr>
            <w:tcW w:type="dxa" w:w="3969"/>
            <w:vAlign w:val="center"/>
          </w:tcPr>
          <w:p>
            <w:pPr>
              <w:spacing w:after="80" w:before="80" w:line="252" w:lineRule="auto"/>
            </w:pPr>
            <w:r>
              <w:rPr>
                <w:sz w:val="18"/>
              </w:rPr>
              <w:t>Tên các key thêm, xóa, thay và chuyển tiếp khớp với handler BE; cờ is_manage_done khớp.</w:t>
            </w:r>
          </w:p>
        </w:tc>
        <w:tc>
          <w:tcPr>
            <w:tcW w:type="dxa" w:w="3402"/>
            <w:vAlign w:val="center"/>
          </w:tcPr>
          <w:p>
            <w:pPr>
              <w:spacing w:after="80" w:before="80" w:line="252" w:lineRule="auto"/>
            </w:pPr>
            <w:r>
              <w:rPr>
                <w:sz w:val="18"/>
              </w:rPr>
              <w:t>Cần bổ sung cưỡng chế quyền/state ở BE theo A01.</w:t>
            </w:r>
          </w:p>
        </w:tc>
      </w:tr>
      <w:tr>
        <w:trPr>
          <w:cantSplit/>
        </w:trPr>
        <w:tc>
          <w:tcPr>
            <w:tcW w:type="dxa" w:w="2268"/>
            <w:vAlign w:val="center"/>
          </w:tcPr>
          <w:p>
            <w:pPr>
              <w:spacing w:after="80" w:before="80" w:line="252" w:lineRule="auto"/>
            </w:pPr>
            <w:r>
              <w:rPr>
                <w:sz w:val="18"/>
              </w:rPr>
              <w:t>Nhánh 5/18/20</w:t>
            </w:r>
          </w:p>
        </w:tc>
        <w:tc>
          <w:tcPr>
            <w:tcW w:type="dxa" w:w="3969"/>
            <w:vAlign w:val="center"/>
          </w:tcPr>
          <w:p>
            <w:pPr>
              <w:spacing w:after="80" w:before="80" w:line="252" w:lineRule="auto"/>
            </w:pPr>
            <w:r>
              <w:rPr>
                <w:sz w:val="18"/>
              </w:rPr>
              <w:t>Quy tắc 2→8→3→5→7, nhận chưa tự gán, người tạo chỉ đóng sau hoàn thành khớp source.</w:t>
            </w:r>
          </w:p>
        </w:tc>
        <w:tc>
          <w:tcPr>
            <w:tcW w:type="dxa" w:w="3402"/>
            <w:vAlign w:val="center"/>
          </w:tcPr>
          <w:p>
            <w:pPr>
              <w:spacing w:after="80" w:before="80" w:line="252" w:lineRule="auto"/>
            </w:pPr>
            <w:r>
              <w:rPr>
                <w:sz w:val="18"/>
              </w:rPr>
              <w:t>81 điểm live đã kiểm ở lượt trước; không chạy lại mutation lần này.</w:t>
            </w:r>
          </w:p>
        </w:tc>
      </w:tr>
      <w:tr>
        <w:trPr>
          <w:cantSplit/>
        </w:trPr>
        <w:tc>
          <w:tcPr>
            <w:tcW w:type="dxa" w:w="2268"/>
            <w:vAlign w:val="center"/>
          </w:tcPr>
          <w:p>
            <w:pPr>
              <w:spacing w:after="80" w:before="80" w:line="252" w:lineRule="auto"/>
            </w:pPr>
            <w:r>
              <w:rPr>
                <w:sz w:val="18"/>
              </w:rPr>
              <w:t>Trao đổi / lịch sử</w:t>
            </w:r>
          </w:p>
        </w:tc>
        <w:tc>
          <w:tcPr>
            <w:tcW w:type="dxa" w:w="3969"/>
            <w:vAlign w:val="center"/>
          </w:tcPr>
          <w:p>
            <w:pPr>
              <w:spacing w:after="80" w:before="80" w:line="252" w:lineRule="auto"/>
            </w:pPr>
            <w:r>
              <w:rPr>
                <w:sz w:val="18"/>
              </w:rPr>
              <w:t>Đúng endpoint comment/reply, multipart att_file/deleted_old_files và truy vấn lịch sử.</w:t>
            </w:r>
          </w:p>
        </w:tc>
        <w:tc>
          <w:tcPr>
            <w:tcW w:type="dxa" w:w="3402"/>
            <w:vAlign w:val="center"/>
          </w:tcPr>
          <w:p>
            <w:pPr>
              <w:spacing w:after="80" w:before="80" w:line="252" w:lineRule="auto"/>
            </w:pPr>
            <w:r>
              <w:rPr>
                <w:sz w:val="18"/>
              </w:rPr>
              <w:t>FE giới hạn sửa bình luận của mình; BE PUT comment/reply được đọc chưa có so sánh chủ sở hữu. Thuộc phạm vi cần sửa A01.</w:t>
            </w:r>
          </w:p>
        </w:tc>
      </w:tr>
      <w:tr>
        <w:trPr>
          <w:cantSplit/>
        </w:trPr>
        <w:tc>
          <w:tcPr>
            <w:tcW w:type="dxa" w:w="2268"/>
            <w:vAlign w:val="center"/>
          </w:tcPr>
          <w:p>
            <w:pPr>
              <w:spacing w:after="80" w:before="80" w:line="252" w:lineRule="auto"/>
            </w:pPr>
            <w:r>
              <w:rPr>
                <w:sz w:val="18"/>
              </w:rPr>
              <w:t>Báo cáo / xuất Excel</w:t>
            </w:r>
          </w:p>
        </w:tc>
        <w:tc>
          <w:tcPr>
            <w:tcW w:type="dxa" w:w="3969"/>
            <w:vAlign w:val="center"/>
          </w:tcPr>
          <w:p>
            <w:pPr>
              <w:spacing w:after="80" w:before="80" w:line="252" w:lineRule="auto"/>
            </w:pPr>
            <w:r>
              <w:rPr>
                <w:sz w:val="18"/>
              </w:rPr>
              <w:t>Tên endpoint và các key startdate/enddate/handlinggroup hoặc from_date/to_date/bophanxuly_id/ticket_type_id khớp.</w:t>
            </w:r>
          </w:p>
        </w:tc>
        <w:tc>
          <w:tcPr>
            <w:tcW w:type="dxa" w:w="3402"/>
            <w:vAlign w:val="center"/>
          </w:tcPr>
          <w:p>
            <w:pPr>
              <w:spacing w:after="80" w:before="80" w:line="252" w:lineRule="auto"/>
            </w:pPr>
            <w:r>
              <w:rPr>
                <w:sz w:val="18"/>
              </w:rPr>
              <w:t>Không phát sinh lượt xuất POST trong kiểm tra chỉ đọc này.</w:t>
            </w:r>
          </w:p>
        </w:tc>
      </w:tr>
      <w:tr>
        <w:trPr>
          <w:cantSplit/>
        </w:trPr>
        <w:tc>
          <w:tcPr>
            <w:tcW w:type="dxa" w:w="2268"/>
            <w:vAlign w:val="center"/>
          </w:tcPr>
          <w:p>
            <w:pPr>
              <w:spacing w:after="80" w:before="80" w:line="252" w:lineRule="auto"/>
            </w:pPr>
            <w:r>
              <w:rPr>
                <w:sz w:val="18"/>
              </w:rPr>
              <w:t>CV và ghi chú</w:t>
            </w:r>
          </w:p>
        </w:tc>
        <w:tc>
          <w:tcPr>
            <w:tcW w:type="dxa" w:w="3969"/>
            <w:vAlign w:val="center"/>
          </w:tcPr>
          <w:p>
            <w:pPr>
              <w:spacing w:after="80" w:before="80" w:line="252" w:lineRule="auto"/>
            </w:pPr>
            <w:r>
              <w:rPr>
                <w:sz w:val="18"/>
              </w:rPr>
              <w:t>CV tối đa 10 MB, note 50 MB, values JSON trong multipart khớp.</w:t>
            </w:r>
          </w:p>
        </w:tc>
        <w:tc>
          <w:tcPr>
            <w:tcW w:type="dxa" w:w="3402"/>
            <w:vAlign w:val="center"/>
          </w:tcPr>
          <w:p>
            <w:pPr>
              <w:spacing w:after="80" w:before="80" w:line="252" w:lineRule="auto"/>
            </w:pPr>
            <w:r>
              <w:rPr>
                <w:sz w:val="18"/>
              </w:rPr>
              <w:t>Sửa hồ sơ và người phụ trách còn lỗi A03/A06; tệp yêu cầu tuyển dụng riêng có A08.</w:t>
            </w:r>
          </w:p>
        </w:tc>
      </w:tr>
      <w:tr>
        <w:trPr>
          <w:cantSplit/>
        </w:trPr>
        <w:tc>
          <w:tcPr>
            <w:tcW w:type="dxa" w:w="2268"/>
            <w:vAlign w:val="center"/>
          </w:tcPr>
          <w:p>
            <w:pPr>
              <w:spacing w:after="80" w:before="80" w:line="252" w:lineRule="auto"/>
            </w:pPr>
            <w:r>
              <w:rPr>
                <w:sz w:val="18"/>
              </w:rPr>
              <w:t>Lịch phỏng vấn</w:t>
            </w:r>
          </w:p>
        </w:tc>
        <w:tc>
          <w:tcPr>
            <w:tcW w:type="dxa" w:w="3969"/>
            <w:vAlign w:val="center"/>
          </w:tcPr>
          <w:p>
            <w:pPr>
              <w:spacing w:after="80" w:before="80" w:line="252" w:lineRule="auto"/>
            </w:pPr>
            <w:r>
              <w:rPr>
                <w:sz w:val="18"/>
              </w:rPr>
              <w:t>Route đăng ký, gỡ CV, đặt giờ và các key dữ liệu khớp; FE hạn chế giờ riêng trong khoảng.</w:t>
            </w:r>
          </w:p>
        </w:tc>
        <w:tc>
          <w:tcPr>
            <w:tcW w:type="dxa" w:w="3402"/>
            <w:vAlign w:val="center"/>
          </w:tcPr>
          <w:p>
            <w:pPr>
              <w:spacing w:after="80" w:before="80" w:line="252" w:lineRule="auto"/>
            </w:pPr>
            <w:r>
              <w:rPr>
                <w:sz w:val="18"/>
              </w:rPr>
              <w:t>BE đặt giờ chưa kiểm tra khoảng giờ ở handler; FE validation không thay bảo vệ server.</w:t>
            </w:r>
          </w:p>
        </w:tc>
      </w:tr>
      <w:tr>
        <w:trPr>
          <w:cantSplit/>
        </w:trPr>
        <w:tc>
          <w:tcPr>
            <w:tcW w:type="dxa" w:w="2268"/>
            <w:vAlign w:val="center"/>
          </w:tcPr>
          <w:p>
            <w:pPr>
              <w:spacing w:after="80" w:before="80" w:line="252" w:lineRule="auto"/>
            </w:pPr>
            <w:r>
              <w:rPr>
                <w:sz w:val="18"/>
              </w:rPr>
              <w:t>Cấu hình / biểu mẫu</w:t>
            </w:r>
          </w:p>
        </w:tc>
        <w:tc>
          <w:tcPr>
            <w:tcW w:type="dxa" w:w="3969"/>
            <w:vAlign w:val="center"/>
          </w:tcPr>
          <w:p>
            <w:pPr>
              <w:spacing w:after="80" w:before="80" w:line="252" w:lineRule="auto"/>
            </w:pPr>
            <w:r>
              <w:rPr>
                <w:sz w:val="18"/>
              </w:rPr>
              <w:t>Route CRUD, cấu trúc forms/children và lưu/đọc lại template khớp.</w:t>
            </w:r>
          </w:p>
        </w:tc>
        <w:tc>
          <w:tcPr>
            <w:tcW w:type="dxa" w:w="3402"/>
            <w:vAlign w:val="center"/>
          </w:tcPr>
          <w:p>
            <w:pPr>
              <w:spacing w:after="80" w:before="80" w:line="252" w:lineRule="auto"/>
            </w:pPr>
            <w:r>
              <w:rPr>
                <w:sz w:val="18"/>
              </w:rPr>
              <w:t>Quyền cấu hình và ngữ nghĩa nhóm quyền user còn cần A01/A05.</w:t>
            </w:r>
          </w:p>
        </w:tc>
      </w:tr>
    </w:tbl>
    <w:p/>
    <w:p>
      <w:pPr>
        <w:pStyle w:val="Heading1"/>
      </w:pPr>
      <w:r>
        <w:t>2. Danh sách điểm chưa khớp</w:t>
      </w:r>
    </w:p>
    <w:tbl>
      <w:tblPr>
        <w:tblStyle w:val="TableGrid"/>
        <w:tblW w:type="auto" w:w="0"/>
        <w:jc w:val="center"/>
        <w:tblLayout w:type="fixed"/>
        <w:tblLook w:firstColumn="1" w:firstRow="1" w:lastColumn="0" w:lastRow="0" w:noHBand="0" w:noVBand="1" w:val="04A0"/>
      </w:tblPr>
      <w:tblGrid>
        <w:gridCol w:w="680"/>
        <w:gridCol w:w="1417"/>
        <w:gridCol w:w="5839"/>
        <w:gridCol w:w="1701"/>
      </w:tblGrid>
      <w:tr>
        <w:trPr>
          <w:tblHeader/>
          <w:cantSplit/>
        </w:trPr>
        <w:tc>
          <w:tcPr>
            <w:tcW w:type="dxa" w:w="2409"/>
            <w:shd w:fill="6468AF"/>
            <w:vAlign w:val="center"/>
          </w:tcPr>
          <w:p>
            <w:pPr>
              <w:spacing w:after="80" w:before="80" w:line="252" w:lineRule="auto"/>
            </w:pPr>
            <w:r>
              <w:rPr>
                <w:b/>
                <w:color w:val="FFFFFF"/>
                <w:sz w:val="18"/>
              </w:rPr>
              <w:t>Mã</w:t>
            </w:r>
          </w:p>
        </w:tc>
        <w:tc>
          <w:tcPr>
            <w:tcW w:type="dxa" w:w="2409"/>
            <w:shd w:fill="6468AF"/>
            <w:vAlign w:val="center"/>
          </w:tcPr>
          <w:p>
            <w:pPr>
              <w:spacing w:after="80" w:before="80" w:line="252" w:lineRule="auto"/>
            </w:pPr>
            <w:r>
              <w:rPr>
                <w:b/>
                <w:color w:val="FFFFFF"/>
                <w:sz w:val="18"/>
              </w:rPr>
              <w:t>Mức độ</w:t>
            </w:r>
          </w:p>
        </w:tc>
        <w:tc>
          <w:tcPr>
            <w:tcW w:type="dxa" w:w="2409"/>
            <w:shd w:fill="6468AF"/>
            <w:vAlign w:val="center"/>
          </w:tcPr>
          <w:p>
            <w:pPr>
              <w:spacing w:after="80" w:before="80" w:line="252" w:lineRule="auto"/>
            </w:pPr>
            <w:r>
              <w:rPr>
                <w:b/>
                <w:color w:val="FFFFFF"/>
                <w:sz w:val="18"/>
              </w:rPr>
              <w:t>Vấn đề</w:t>
            </w:r>
          </w:p>
        </w:tc>
        <w:tc>
          <w:tcPr>
            <w:tcW w:type="dxa" w:w="2409"/>
            <w:shd w:fill="6468AF"/>
            <w:vAlign w:val="center"/>
          </w:tcPr>
          <w:p>
            <w:pPr>
              <w:spacing w:after="80" w:before="80" w:line="252" w:lineRule="auto"/>
            </w:pPr>
            <w:r>
              <w:rPr>
                <w:b/>
                <w:color w:val="FFFFFF"/>
                <w:sz w:val="18"/>
              </w:rPr>
              <w:t>Chương hướng dẫn</w:t>
            </w:r>
          </w:p>
        </w:tc>
      </w:tr>
      <w:tr>
        <w:trPr>
          <w:cantSplit/>
        </w:trPr>
        <w:tc>
          <w:tcPr>
            <w:tcW w:type="dxa" w:w="680"/>
            <w:vAlign w:val="center"/>
          </w:tcPr>
          <w:p>
            <w:pPr>
              <w:spacing w:after="80" w:before="80" w:line="252" w:lineRule="auto"/>
            </w:pPr>
            <w:r>
              <w:rPr>
                <w:sz w:val="18"/>
              </w:rPr>
              <w:t>A01</w:t>
            </w:r>
          </w:p>
        </w:tc>
        <w:tc>
          <w:tcPr>
            <w:tcW w:type="dxa" w:w="1417"/>
            <w:vAlign w:val="center"/>
          </w:tcPr>
          <w:p>
            <w:pPr>
              <w:spacing w:after="80" w:before="80" w:line="252" w:lineRule="auto"/>
            </w:pPr>
            <w:r>
              <w:rPr>
                <w:sz w:val="18"/>
              </w:rPr>
              <w:t>Nghiêm trọng</w:t>
            </w:r>
          </w:p>
        </w:tc>
        <w:tc>
          <w:tcPr>
            <w:tcW w:type="dxa" w:w="5839"/>
            <w:vAlign w:val="center"/>
          </w:tcPr>
          <w:p>
            <w:pPr>
              <w:spacing w:after="80" w:before="80" w:line="252" w:lineRule="auto"/>
            </w:pPr>
            <w:r>
              <w:rPr>
                <w:sz w:val="18"/>
              </w:rPr>
              <w:t>Quyền hiển thị nút FE chưa được BE cưỡng chế tương ứng</w:t>
            </w:r>
          </w:p>
        </w:tc>
        <w:tc>
          <w:tcPr>
            <w:tcW w:type="dxa" w:w="1701"/>
            <w:vAlign w:val="center"/>
          </w:tcPr>
          <w:p>
            <w:pPr>
              <w:spacing w:after="80" w:before="80" w:line="252" w:lineRule="auto"/>
            </w:pPr>
            <w:r>
              <w:rPr>
                <w:sz w:val="18"/>
              </w:rPr>
              <w:t>2, 6, 9, 13</w:t>
            </w:r>
          </w:p>
        </w:tc>
      </w:tr>
      <w:tr>
        <w:trPr>
          <w:cantSplit/>
        </w:trPr>
        <w:tc>
          <w:tcPr>
            <w:tcW w:type="dxa" w:w="680"/>
            <w:vAlign w:val="center"/>
          </w:tcPr>
          <w:p>
            <w:pPr>
              <w:spacing w:after="80" w:before="80" w:line="252" w:lineRule="auto"/>
            </w:pPr>
            <w:r>
              <w:rPr>
                <w:sz w:val="18"/>
              </w:rPr>
              <w:t>A02</w:t>
            </w:r>
          </w:p>
        </w:tc>
        <w:tc>
          <w:tcPr>
            <w:tcW w:type="dxa" w:w="1417"/>
            <w:vAlign w:val="center"/>
          </w:tcPr>
          <w:p>
            <w:pPr>
              <w:spacing w:after="80" w:before="80" w:line="252" w:lineRule="auto"/>
            </w:pPr>
            <w:r>
              <w:rPr>
                <w:sz w:val="18"/>
              </w:rPr>
              <w:t>Cao</w:t>
            </w:r>
          </w:p>
        </w:tc>
        <w:tc>
          <w:tcPr>
            <w:tcW w:type="dxa" w:w="5839"/>
            <w:vAlign w:val="center"/>
          </w:tcPr>
          <w:p>
            <w:pPr>
              <w:spacing w:after="80" w:before="80" w:line="252" w:lineRule="auto"/>
            </w:pPr>
            <w:r>
              <w:rPr>
                <w:sz w:val="18"/>
              </w:rPr>
              <w:t>Các cờ trường biểu mẫu chỉ được bảo vệ đầy đủ ở FE</w:t>
            </w:r>
          </w:p>
        </w:tc>
        <w:tc>
          <w:tcPr>
            <w:tcW w:type="dxa" w:w="1701"/>
            <w:vAlign w:val="center"/>
          </w:tcPr>
          <w:p>
            <w:pPr>
              <w:spacing w:after="80" w:before="80" w:line="252" w:lineRule="auto"/>
            </w:pPr>
            <w:r>
              <w:rPr>
                <w:sz w:val="18"/>
              </w:rPr>
              <w:t>6.4, 14</w:t>
            </w:r>
          </w:p>
        </w:tc>
      </w:tr>
      <w:tr>
        <w:trPr>
          <w:cantSplit/>
        </w:trPr>
        <w:tc>
          <w:tcPr>
            <w:tcW w:type="dxa" w:w="680"/>
            <w:vAlign w:val="center"/>
          </w:tcPr>
          <w:p>
            <w:pPr>
              <w:spacing w:after="80" w:before="80" w:line="252" w:lineRule="auto"/>
            </w:pPr>
            <w:r>
              <w:rPr>
                <w:sz w:val="18"/>
              </w:rPr>
              <w:t>A03</w:t>
            </w:r>
          </w:p>
        </w:tc>
        <w:tc>
          <w:tcPr>
            <w:tcW w:type="dxa" w:w="1417"/>
            <w:vAlign w:val="center"/>
          </w:tcPr>
          <w:p>
            <w:pPr>
              <w:spacing w:after="80" w:before="80" w:line="252" w:lineRule="auto"/>
            </w:pPr>
            <w:r>
              <w:rPr>
                <w:sz w:val="18"/>
              </w:rPr>
              <w:t>Cao</w:t>
            </w:r>
          </w:p>
        </w:tc>
        <w:tc>
          <w:tcPr>
            <w:tcW w:type="dxa" w:w="5839"/>
            <w:vAlign w:val="center"/>
          </w:tcPr>
          <w:p>
            <w:pPr>
              <w:spacing w:after="80" w:before="80" w:line="252" w:lineRule="auto"/>
            </w:pPr>
            <w:r>
              <w:rPr>
                <w:sz w:val="18"/>
              </w:rPr>
              <w:t>Sửa hồ sơ ứng viên có thể đưa trạng thái về 1</w:t>
            </w:r>
          </w:p>
        </w:tc>
        <w:tc>
          <w:tcPr>
            <w:tcW w:type="dxa" w:w="1701"/>
            <w:vAlign w:val="center"/>
          </w:tcPr>
          <w:p>
            <w:pPr>
              <w:spacing w:after="80" w:before="80" w:line="252" w:lineRule="auto"/>
            </w:pPr>
            <w:r>
              <w:rPr>
                <w:sz w:val="18"/>
              </w:rPr>
              <w:t>11.3</w:t>
            </w:r>
          </w:p>
        </w:tc>
      </w:tr>
      <w:tr>
        <w:trPr>
          <w:cantSplit/>
        </w:trPr>
        <w:tc>
          <w:tcPr>
            <w:tcW w:type="dxa" w:w="680"/>
            <w:vAlign w:val="center"/>
          </w:tcPr>
          <w:p>
            <w:pPr>
              <w:spacing w:after="80" w:before="80" w:line="252" w:lineRule="auto"/>
            </w:pPr>
            <w:r>
              <w:rPr>
                <w:sz w:val="18"/>
              </w:rPr>
              <w:t>A04</w:t>
            </w:r>
          </w:p>
        </w:tc>
        <w:tc>
          <w:tcPr>
            <w:tcW w:type="dxa" w:w="1417"/>
            <w:vAlign w:val="center"/>
          </w:tcPr>
          <w:p>
            <w:pPr>
              <w:spacing w:after="80" w:before="80" w:line="252" w:lineRule="auto"/>
            </w:pPr>
            <w:r>
              <w:rPr>
                <w:sz w:val="18"/>
              </w:rPr>
              <w:t>Cao</w:t>
            </w:r>
          </w:p>
        </w:tc>
        <w:tc>
          <w:tcPr>
            <w:tcW w:type="dxa" w:w="5839"/>
            <w:vAlign w:val="center"/>
          </w:tcPr>
          <w:p>
            <w:pPr>
              <w:spacing w:after="80" w:before="80" w:line="252" w:lineRule="auto"/>
            </w:pPr>
            <w:r>
              <w:rPr>
                <w:sz w:val="18"/>
              </w:rPr>
              <w:t>Gỡ thành viên có thể làm người vẫn được phân công mất quyền xem ticket</w:t>
            </w:r>
          </w:p>
        </w:tc>
        <w:tc>
          <w:tcPr>
            <w:tcW w:type="dxa" w:w="1701"/>
            <w:vAlign w:val="center"/>
          </w:tcPr>
          <w:p>
            <w:pPr>
              <w:spacing w:after="80" w:before="80" w:line="252" w:lineRule="auto"/>
            </w:pPr>
            <w:r>
              <w:rPr>
                <w:sz w:val="18"/>
              </w:rPr>
              <w:t>7.2, 13.4</w:t>
            </w:r>
          </w:p>
        </w:tc>
      </w:tr>
      <w:tr>
        <w:trPr>
          <w:cantSplit/>
        </w:trPr>
        <w:tc>
          <w:tcPr>
            <w:tcW w:type="dxa" w:w="680"/>
            <w:vAlign w:val="center"/>
          </w:tcPr>
          <w:p>
            <w:pPr>
              <w:spacing w:after="80" w:before="80" w:line="252" w:lineRule="auto"/>
            </w:pPr>
            <w:r>
              <w:rPr>
                <w:sz w:val="18"/>
              </w:rPr>
              <w:t>A05</w:t>
            </w:r>
          </w:p>
        </w:tc>
        <w:tc>
          <w:tcPr>
            <w:tcW w:type="dxa" w:w="1417"/>
            <w:vAlign w:val="center"/>
          </w:tcPr>
          <w:p>
            <w:pPr>
              <w:spacing w:after="80" w:before="80" w:line="252" w:lineRule="auto"/>
            </w:pPr>
            <w:r>
              <w:rPr>
                <w:sz w:val="18"/>
              </w:rPr>
              <w:t>Cao</w:t>
            </w:r>
          </w:p>
        </w:tc>
        <w:tc>
          <w:tcPr>
            <w:tcW w:type="dxa" w:w="5839"/>
            <w:vAlign w:val="center"/>
          </w:tcPr>
          <w:p>
            <w:pPr>
              <w:spacing w:after="80" w:before="80" w:line="252" w:lineRule="auto"/>
            </w:pPr>
            <w:r>
              <w:rPr>
                <w:sz w:val="18"/>
              </w:rPr>
              <w:t>Nhóm quyền bổ sung chỉ cộng thêm, không thay thế hoặc gỡ</w:t>
            </w:r>
          </w:p>
        </w:tc>
        <w:tc>
          <w:tcPr>
            <w:tcW w:type="dxa" w:w="1701"/>
            <w:vAlign w:val="center"/>
          </w:tcPr>
          <w:p>
            <w:pPr>
              <w:spacing w:after="80" w:before="80" w:line="252" w:lineRule="auto"/>
            </w:pPr>
            <w:r>
              <w:rPr>
                <w:sz w:val="18"/>
              </w:rPr>
              <w:t>13.2, 13.7</w:t>
            </w:r>
          </w:p>
        </w:tc>
      </w:tr>
      <w:tr>
        <w:trPr>
          <w:cantSplit/>
        </w:trPr>
        <w:tc>
          <w:tcPr>
            <w:tcW w:type="dxa" w:w="680"/>
            <w:vAlign w:val="center"/>
          </w:tcPr>
          <w:p>
            <w:pPr>
              <w:spacing w:after="80" w:before="80" w:line="252" w:lineRule="auto"/>
            </w:pPr>
            <w:r>
              <w:rPr>
                <w:sz w:val="18"/>
              </w:rPr>
              <w:t>A06</w:t>
            </w:r>
          </w:p>
        </w:tc>
        <w:tc>
          <w:tcPr>
            <w:tcW w:type="dxa" w:w="1417"/>
            <w:vAlign w:val="center"/>
          </w:tcPr>
          <w:p>
            <w:pPr>
              <w:spacing w:after="80" w:before="80" w:line="252" w:lineRule="auto"/>
            </w:pPr>
            <w:r>
              <w:rPr>
                <w:sz w:val="18"/>
              </w:rPr>
              <w:t>Vừa</w:t>
            </w:r>
          </w:p>
        </w:tc>
        <w:tc>
          <w:tcPr>
            <w:tcW w:type="dxa" w:w="5839"/>
            <w:vAlign w:val="center"/>
          </w:tcPr>
          <w:p>
            <w:pPr>
              <w:spacing w:after="80" w:before="80" w:line="252" w:lineRule="auto"/>
            </w:pPr>
            <w:r>
              <w:rPr>
                <w:sz w:val="18"/>
              </w:rPr>
              <w:t>Người phụ trách ứng viên được FE cho sửa nhưng BE không lưu trường đó</w:t>
            </w:r>
          </w:p>
        </w:tc>
        <w:tc>
          <w:tcPr>
            <w:tcW w:type="dxa" w:w="1701"/>
            <w:vAlign w:val="center"/>
          </w:tcPr>
          <w:p>
            <w:pPr>
              <w:spacing w:after="80" w:before="80" w:line="252" w:lineRule="auto"/>
            </w:pPr>
            <w:r>
              <w:rPr>
                <w:sz w:val="18"/>
              </w:rPr>
              <w:t>11.3</w:t>
            </w:r>
          </w:p>
        </w:tc>
      </w:tr>
      <w:tr>
        <w:trPr>
          <w:cantSplit/>
        </w:trPr>
        <w:tc>
          <w:tcPr>
            <w:tcW w:type="dxa" w:w="680"/>
            <w:vAlign w:val="center"/>
          </w:tcPr>
          <w:p>
            <w:pPr>
              <w:spacing w:after="80" w:before="80" w:line="252" w:lineRule="auto"/>
            </w:pPr>
            <w:r>
              <w:rPr>
                <w:sz w:val="18"/>
              </w:rPr>
              <w:t>A07</w:t>
            </w:r>
          </w:p>
        </w:tc>
        <w:tc>
          <w:tcPr>
            <w:tcW w:type="dxa" w:w="1417"/>
            <w:vAlign w:val="center"/>
          </w:tcPr>
          <w:p>
            <w:pPr>
              <w:spacing w:after="80" w:before="80" w:line="252" w:lineRule="auto"/>
            </w:pPr>
            <w:r>
              <w:rPr>
                <w:sz w:val="18"/>
              </w:rPr>
              <w:t>Vừa</w:t>
            </w:r>
          </w:p>
        </w:tc>
        <w:tc>
          <w:tcPr>
            <w:tcW w:type="dxa" w:w="5839"/>
            <w:vAlign w:val="center"/>
          </w:tcPr>
          <w:p>
            <w:pPr>
              <w:spacing w:after="80" w:before="80" w:line="252" w:lineRule="auto"/>
            </w:pPr>
            <w:r>
              <w:rPr>
                <w:sz w:val="18"/>
              </w:rPr>
              <w:t>Nhãn bộ lọc trạng thái yêu cầu tuyển dụng bị gán sai ID</w:t>
            </w:r>
          </w:p>
        </w:tc>
        <w:tc>
          <w:tcPr>
            <w:tcW w:type="dxa" w:w="1701"/>
            <w:vAlign w:val="center"/>
          </w:tcPr>
          <w:p>
            <w:pPr>
              <w:spacing w:after="80" w:before="80" w:line="252" w:lineRule="auto"/>
            </w:pPr>
            <w:r>
              <w:rPr>
                <w:sz w:val="18"/>
              </w:rPr>
              <w:t>11.1</w:t>
            </w:r>
          </w:p>
        </w:tc>
      </w:tr>
      <w:tr>
        <w:trPr>
          <w:cantSplit/>
        </w:trPr>
        <w:tc>
          <w:tcPr>
            <w:tcW w:type="dxa" w:w="680"/>
            <w:vAlign w:val="center"/>
          </w:tcPr>
          <w:p>
            <w:pPr>
              <w:spacing w:after="80" w:before="80" w:line="252" w:lineRule="auto"/>
            </w:pPr>
            <w:r>
              <w:rPr>
                <w:sz w:val="18"/>
              </w:rPr>
              <w:t>A08</w:t>
            </w:r>
          </w:p>
        </w:tc>
        <w:tc>
          <w:tcPr>
            <w:tcW w:type="dxa" w:w="1417"/>
            <w:vAlign w:val="center"/>
          </w:tcPr>
          <w:p>
            <w:pPr>
              <w:spacing w:after="80" w:before="80" w:line="252" w:lineRule="auto"/>
            </w:pPr>
            <w:r>
              <w:rPr>
                <w:sz w:val="18"/>
              </w:rPr>
              <w:t>Vừa</w:t>
            </w:r>
          </w:p>
        </w:tc>
        <w:tc>
          <w:tcPr>
            <w:tcW w:type="dxa" w:w="5839"/>
            <w:vAlign w:val="center"/>
          </w:tcPr>
          <w:p>
            <w:pPr>
              <w:spacing w:after="80" w:before="80" w:line="252" w:lineRule="auto"/>
            </w:pPr>
            <w:r>
              <w:rPr>
                <w:sz w:val="18"/>
              </w:rPr>
              <w:t>Giới hạn tệp của yêu cầu tuyển dụng lệch FE 50 MB và BE 10 MB</w:t>
            </w:r>
          </w:p>
        </w:tc>
        <w:tc>
          <w:tcPr>
            <w:tcW w:type="dxa" w:w="1701"/>
            <w:vAlign w:val="center"/>
          </w:tcPr>
          <w:p>
            <w:pPr>
              <w:spacing w:after="80" w:before="80" w:line="252" w:lineRule="auto"/>
            </w:pPr>
            <w:r>
              <w:rPr>
                <w:sz w:val="18"/>
              </w:rPr>
              <w:t>11.1, 11.2, 11.5</w:t>
            </w:r>
          </w:p>
        </w:tc>
      </w:tr>
      <w:tr>
        <w:trPr>
          <w:cantSplit/>
        </w:trPr>
        <w:tc>
          <w:tcPr>
            <w:tcW w:type="dxa" w:w="680"/>
            <w:vAlign w:val="center"/>
          </w:tcPr>
          <w:p>
            <w:pPr>
              <w:spacing w:after="80" w:before="80" w:line="252" w:lineRule="auto"/>
            </w:pPr>
            <w:r>
              <w:rPr>
                <w:sz w:val="18"/>
              </w:rPr>
              <w:t>A09</w:t>
            </w:r>
          </w:p>
        </w:tc>
        <w:tc>
          <w:tcPr>
            <w:tcW w:type="dxa" w:w="1417"/>
            <w:vAlign w:val="center"/>
          </w:tcPr>
          <w:p>
            <w:pPr>
              <w:spacing w:after="80" w:before="80" w:line="252" w:lineRule="auto"/>
            </w:pPr>
            <w:r>
              <w:rPr>
                <w:sz w:val="18"/>
              </w:rPr>
              <w:t>Vừa</w:t>
            </w:r>
          </w:p>
        </w:tc>
        <w:tc>
          <w:tcPr>
            <w:tcW w:type="dxa" w:w="5839"/>
            <w:vAlign w:val="center"/>
          </w:tcPr>
          <w:p>
            <w:pPr>
              <w:spacing w:after="80" w:before="80" w:line="252" w:lineRule="auto"/>
            </w:pPr>
            <w:r>
              <w:rPr>
                <w:sz w:val="18"/>
              </w:rPr>
              <w:t>Tên Quận/Huyện cũ trong chi tiết ứng viên có thể sai</w:t>
            </w:r>
          </w:p>
        </w:tc>
        <w:tc>
          <w:tcPr>
            <w:tcW w:type="dxa" w:w="1701"/>
            <w:vAlign w:val="center"/>
          </w:tcPr>
          <w:p>
            <w:pPr>
              <w:spacing w:after="80" w:before="80" w:line="252" w:lineRule="auto"/>
            </w:pPr>
            <w:r>
              <w:rPr>
                <w:sz w:val="18"/>
              </w:rPr>
              <w:t>11.2, 12.4</w:t>
            </w:r>
          </w:p>
        </w:tc>
      </w:tr>
      <w:tr>
        <w:trPr>
          <w:cantSplit/>
        </w:trPr>
        <w:tc>
          <w:tcPr>
            <w:tcW w:type="dxa" w:w="680"/>
            <w:vAlign w:val="center"/>
          </w:tcPr>
          <w:p>
            <w:pPr>
              <w:spacing w:after="80" w:before="80" w:line="252" w:lineRule="auto"/>
            </w:pPr>
            <w:r>
              <w:rPr>
                <w:sz w:val="18"/>
              </w:rPr>
              <w:t>A10</w:t>
            </w:r>
          </w:p>
        </w:tc>
        <w:tc>
          <w:tcPr>
            <w:tcW w:type="dxa" w:w="1417"/>
            <w:vAlign w:val="center"/>
          </w:tcPr>
          <w:p>
            <w:pPr>
              <w:spacing w:after="80" w:before="80" w:line="252" w:lineRule="auto"/>
            </w:pPr>
            <w:r>
              <w:rPr>
                <w:sz w:val="18"/>
              </w:rPr>
              <w:t>Vừa</w:t>
            </w:r>
          </w:p>
        </w:tc>
        <w:tc>
          <w:tcPr>
            <w:tcW w:type="dxa" w:w="5839"/>
            <w:vAlign w:val="center"/>
          </w:tcPr>
          <w:p>
            <w:pPr>
              <w:spacing w:after="80" w:before="80" w:line="252" w:lineRule="auto"/>
            </w:pPr>
            <w:r>
              <w:rPr>
                <w:sz w:val="18"/>
              </w:rPr>
              <w:t>Tìm kiếm email tại Chi tiết CV phỏng vấn chưa được BE hỗ trợ</w:t>
            </w:r>
          </w:p>
        </w:tc>
        <w:tc>
          <w:tcPr>
            <w:tcW w:type="dxa" w:w="1701"/>
            <w:vAlign w:val="center"/>
          </w:tcPr>
          <w:p>
            <w:pPr>
              <w:spacing w:after="80" w:before="80" w:line="252" w:lineRule="auto"/>
            </w:pPr>
            <w:r>
              <w:rPr>
                <w:sz w:val="18"/>
              </w:rPr>
              <w:t>12.4</w:t>
            </w:r>
          </w:p>
        </w:tc>
      </w:tr>
      <w:tr>
        <w:trPr>
          <w:cantSplit/>
        </w:trPr>
        <w:tc>
          <w:tcPr>
            <w:tcW w:type="dxa" w:w="680"/>
            <w:vAlign w:val="center"/>
          </w:tcPr>
          <w:p>
            <w:pPr>
              <w:spacing w:after="80" w:before="80" w:line="252" w:lineRule="auto"/>
            </w:pPr>
            <w:r>
              <w:rPr>
                <w:sz w:val="18"/>
              </w:rPr>
              <w:t>A11</w:t>
            </w:r>
          </w:p>
        </w:tc>
        <w:tc>
          <w:tcPr>
            <w:tcW w:type="dxa" w:w="1417"/>
            <w:vAlign w:val="center"/>
          </w:tcPr>
          <w:p>
            <w:pPr>
              <w:spacing w:after="80" w:before="80" w:line="252" w:lineRule="auto"/>
            </w:pPr>
            <w:r>
              <w:rPr>
                <w:sz w:val="18"/>
              </w:rPr>
              <w:t>Vừa</w:t>
            </w:r>
          </w:p>
        </w:tc>
        <w:tc>
          <w:tcPr>
            <w:tcW w:type="dxa" w:w="5839"/>
            <w:vAlign w:val="center"/>
          </w:tcPr>
          <w:p>
            <w:pPr>
              <w:spacing w:after="80" w:before="80" w:line="252" w:lineRule="auto"/>
            </w:pPr>
            <w:r>
              <w:rPr>
                <w:sz w:val="18"/>
              </w:rPr>
              <w:t>User không có Chức vụ vẫn làm lỗi API quyền ở BE</w:t>
            </w:r>
          </w:p>
        </w:tc>
        <w:tc>
          <w:tcPr>
            <w:tcW w:type="dxa" w:w="1701"/>
            <w:vAlign w:val="center"/>
          </w:tcPr>
          <w:p>
            <w:pPr>
              <w:spacing w:after="80" w:before="80" w:line="252" w:lineRule="auto"/>
            </w:pPr>
            <w:r>
              <w:rPr>
                <w:sz w:val="18"/>
              </w:rPr>
              <w:t>2, 13.2</w:t>
            </w:r>
          </w:p>
        </w:tc>
      </w:tr>
      <w:tr>
        <w:trPr>
          <w:cantSplit/>
        </w:trPr>
        <w:tc>
          <w:tcPr>
            <w:tcW w:type="dxa" w:w="680"/>
            <w:vAlign w:val="center"/>
          </w:tcPr>
          <w:p>
            <w:pPr>
              <w:spacing w:after="80" w:before="80" w:line="252" w:lineRule="auto"/>
            </w:pPr>
            <w:r>
              <w:rPr>
                <w:sz w:val="18"/>
              </w:rPr>
              <w:t>A12</w:t>
            </w:r>
          </w:p>
        </w:tc>
        <w:tc>
          <w:tcPr>
            <w:tcW w:type="dxa" w:w="1417"/>
            <w:vAlign w:val="center"/>
          </w:tcPr>
          <w:p>
            <w:pPr>
              <w:spacing w:after="80" w:before="80" w:line="252" w:lineRule="auto"/>
            </w:pPr>
            <w:r>
              <w:rPr>
                <w:sz w:val="18"/>
              </w:rPr>
              <w:t>Cần chốt</w:t>
            </w:r>
          </w:p>
        </w:tc>
        <w:tc>
          <w:tcPr>
            <w:tcW w:type="dxa" w:w="5839"/>
            <w:vAlign w:val="center"/>
          </w:tcPr>
          <w:p>
            <w:pPr>
              <w:spacing w:after="80" w:before="80" w:line="252" w:lineRule="auto"/>
            </w:pPr>
            <w:r>
              <w:rPr>
                <w:sz w:val="18"/>
              </w:rPr>
              <w:t>Trường riêng tư: BE có ngoại lệ superuser, FE không có</w:t>
            </w:r>
          </w:p>
        </w:tc>
        <w:tc>
          <w:tcPr>
            <w:tcW w:type="dxa" w:w="1701"/>
            <w:vAlign w:val="center"/>
          </w:tcPr>
          <w:p>
            <w:pPr>
              <w:spacing w:after="80" w:before="80" w:line="252" w:lineRule="auto"/>
            </w:pPr>
            <w:r>
              <w:rPr>
                <w:sz w:val="18"/>
              </w:rPr>
              <w:t>14.4</w:t>
            </w:r>
          </w:p>
        </w:tc>
      </w:tr>
    </w:tbl>
    <w:p/>
    <w:p>
      <w:pPr>
        <w:pStyle w:val="Heading2"/>
      </w:pPr>
      <w:r>
        <w:t>A01 – Quyền hiển thị nút FE chưa được BE cưỡng chế tương ứng</w:t>
      </w:r>
    </w:p>
    <w:p>
      <w:r>
        <w:t>Mức độ: Nghiêm trọng • Liên quan hướng dẫn: 2, 6, 9, 13</w:t>
      </w:r>
    </w:p>
    <w:p>
      <w:r>
        <w:t>Hiện trạng và tác động: FE chỉ mở các hành động trong list_button. Các API thay đổi nghiệp vụ được đọc không kiểm tra quyền trên ticket/trạng thái/vai trò trước khi cập nhật. Settings BE đặt mặc định AllowAny; nhiều APIView nghiệp vụ không ghi đè bằng quyền chặt hơn. Lọc nút ở FE không bảo vệ được lời gọi trực tiếp.</w:t>
      </w:r>
    </w:p>
    <w:p>
      <w:r>
        <w:t>Bằng chứng:</w:t>
      </w:r>
    </w:p>
    <w:p>
      <w:pPr>
        <w:pStyle w:val="ListBullet"/>
      </w:pPr>
      <w:r>
        <w:t>src/features/requests/utils/ticket-actions.ts:37</w:t>
      </w:r>
    </w:p>
    <w:p>
      <w:pPr>
        <w:pStyle w:val="ListBullet"/>
      </w:pPr>
      <w:r>
        <w:t>BE core/views.py:561</w:t>
      </w:r>
    </w:p>
    <w:p>
      <w:pPr>
        <w:pStyle w:val="ListBullet"/>
      </w:pPr>
      <w:r>
        <w:t>BE core/views.py:896</w:t>
      </w:r>
    </w:p>
    <w:p>
      <w:pPr>
        <w:pStyle w:val="ListBullet"/>
      </w:pPr>
      <w:r>
        <w:t>BE core/views.py:684</w:t>
      </w:r>
    </w:p>
    <w:p>
      <w:pPr>
        <w:pStyle w:val="ListBullet"/>
      </w:pPr>
      <w:r>
        <w:t>BE ticket-v2/settings.py: DEFAULT_PERMISSION_CLASSES = rest_framework.permissions.AllowAny; middleware đã đọc không có kiểm tra quyền ticket</w:t>
      </w:r>
    </w:p>
    <w:p>
      <w:r>
        <w:t>Phương án xử lý: BE phải xác thực và kiểm tra quyền đối tượng, trạng thái hợp lệ, phạm vi người nhận; dùng cùng quy tắc với list_button. Bổ sung kiểm tra cho công cụ chuyển trạng thái và API cấu hình. Giữ kiểm tra FE để hỗ trợ UX.</w:t>
      </w:r>
    </w:p>
    <w:p>
      <w:r>
        <w:t>Mức kiểm chứng: Đã đọc handler, middleware, cấu hình quyền mặc định; 5 kiểm tra AST xác nhận các handler trọng yếu chưa gọi guard trên ticket. Chưa gửi POST vượt quyền trong lượt này. Bằng chứng live cũ từng ghi nhận tài khoản chỉ xem phê duyệt được ticket TEST 14477; không tái thực hiện.</w:t>
      </w:r>
    </w:p>
    <w:p>
      <w:pPr>
        <w:pStyle w:val="Heading2"/>
      </w:pPr>
      <w:r>
        <w:t>A02 – Các cờ trường biểu mẫu chỉ được bảo vệ đầy đủ ở FE</w:t>
      </w:r>
    </w:p>
    <w:p>
      <w:r>
        <w:t>Mức độ: Cao • Liên quan hướng dẫn: 6.4, 14</w:t>
      </w:r>
    </w:p>
    <w:p>
      <w:r>
        <w:t>Hiện trạng và tác động: FE kiểm tra trường được sửa, vai trò, trạng thái, required và riêng tư; BE EditItemData trộn trực tiếp các key/giá trị từ payload vào dữ liệu cũ. Không thấy kiểm tra theo cấu hình trường ở handler. Một request ngoài UI có thể không tuân theo khóa trường hoặc phạm vi phần.</w:t>
      </w:r>
    </w:p>
    <w:p>
      <w:r>
        <w:t>Bằng chứng:</w:t>
      </w:r>
    </w:p>
    <w:p>
      <w:pPr>
        <w:pStyle w:val="ListBullet"/>
      </w:pPr>
      <w:r>
        <w:t>src/features/requests/utils/ticket-detail.ts:59</w:t>
      </w:r>
    </w:p>
    <w:p>
      <w:pPr>
        <w:pStyle w:val="ListBullet"/>
      </w:pPr>
      <w:r>
        <w:t>src/features/requests/components/ticket-template.tsx:46</w:t>
      </w:r>
    </w:p>
    <w:p>
      <w:pPr>
        <w:pStyle w:val="ListBullet"/>
      </w:pPr>
      <w:r>
        <w:t>BE core/views.py:543</w:t>
      </w:r>
    </w:p>
    <w:p>
      <w:r>
        <w:t>Phương án xử lý: BE xác minh section/field theo biểu mẫu đã lưu, vai trò thực tế và trạng thái; bỏ hoặc từ chối trường ngoài quyền; kiểm tra bắt buộc/kiểu/ngày trước khi ghi. Không dùng header do client gửi làm nguồn cấp quyền.</w:t>
      </w:r>
    </w:p>
    <w:p>
      <w:r>
        <w:t>Mức kiểm chứng: Đã đọc toàn bộ handler và logic FE; chưa gửi payload sửa trái quyền trên dữ liệu thật. Ca required + không cho thay đổi ở phần chỉ sau tạo vẫn là giới hạn được mô tả tại mục 14.6 của hướng dẫn.</w:t>
      </w:r>
    </w:p>
    <w:p>
      <w:pPr>
        <w:pStyle w:val="Heading2"/>
      </w:pPr>
      <w:r>
        <w:t>A03 – Sửa hồ sơ ứng viên có thể đưa trạng thái về 1</w:t>
      </w:r>
    </w:p>
    <w:p>
      <w:r>
        <w:t>Mức độ: Cao • Liên quan hướng dẫn: 11.3</w:t>
      </w:r>
    </w:p>
    <w:p>
      <w:r>
        <w:t>Hiện trạng và tác động: FE đặt cv_status là chỉ đọc và loại trường này khỏi payload sửa. BE DetailCV PUT dùng cv_status = 1 khi không có key, sau đó gán vào hồ sơ; đồng thời tạo lịch sử trạng thái dù người dùng chỉ sửa thông tin. Lý do chuyển trạng thái còn có thể bị đặt về None.</w:t>
      </w:r>
    </w:p>
    <w:p>
      <w:r>
        <w:t>Bằng chứng:</w:t>
      </w:r>
    </w:p>
    <w:p>
      <w:pPr>
        <w:pStyle w:val="ListBullet"/>
      </w:pPr>
      <w:r>
        <w:t>src/features/recruitment/utils/recruitment-fields.ts:176</w:t>
      </w:r>
    </w:p>
    <w:p>
      <w:pPr>
        <w:pStyle w:val="ListBullet"/>
      </w:pPr>
      <w:r>
        <w:t>src/features/recruitment/utils/recruitment-actions.ts:114</w:t>
      </w:r>
    </w:p>
    <w:p>
      <w:pPr>
        <w:pStyle w:val="ListBullet"/>
      </w:pPr>
      <w:r>
        <w:t>BE core/views_cv.py:550</w:t>
      </w:r>
    </w:p>
    <w:p>
      <w:pPr>
        <w:pStyle w:val="ListBullet"/>
      </w:pPr>
      <w:r>
        <w:t>BE core/views_cv.py:596</w:t>
      </w:r>
    </w:p>
    <w:p>
      <w:r>
        <w:t>Phương án xử lý: Ưu tiên sửa BE: PUT hồ sơ không thay đổi trạng thái/lý do khi không gửi, chỉ API chuyển trạng thái xử lý nghiệp vụ này. Nếu cần giải pháp FE tạm thời phải giữ trạng thái hiện tại và có readback, tránh hiểu rằng đây là phân quyền ở server.</w:t>
      </w:r>
    </w:p>
    <w:p>
      <w:r>
        <w:t>Mức kiểm chứng: Đã thực thi chính hàm BE DetailCV qua AST trong môi trường cô lập với ORM giả: hồ sơ ban đầu trạng thái 6, bỏ cv_status → trả 200 và lưu trạng thái 1, lịch sử 6→1. Không ghi vào DB thật. GET thật hồ sơ TEST 439 trả trạng thái 2; không sửa hồ sơ này.</w:t>
      </w:r>
    </w:p>
    <w:p>
      <w:pPr>
        <w:pStyle w:val="Heading2"/>
      </w:pPr>
      <w:r>
        <w:t>A04 – Gỡ thành viên có thể làm người vẫn được phân công mất quyền xem ticket</w:t>
      </w:r>
    </w:p>
    <w:p>
      <w:r>
        <w:t>Mức độ: Cao • Liên quan hướng dẫn: 7.2, 13.4</w:t>
      </w:r>
    </w:p>
    <w:p>
      <w:r>
        <w:t>Hiện trạng và tác động: GET ticket cho phép quản trị/toàn quyền, quản lý, thành viên bộ phận, người tạo, người duyệt hoặc người được nhắc; điều kiện này không tính riêng TicketUserHandling. Trong khi đó đổi thành viên không xóa phân công. Người được giao cũ bị gỡ khỏi bộ phận có thể còn việc phải làm nhưng không mở được ticket.</w:t>
      </w:r>
    </w:p>
    <w:p>
      <w:r>
        <w:t>Bằng chứng:</w:t>
      </w:r>
    </w:p>
    <w:p>
      <w:pPr>
        <w:pStyle w:val="ListBullet"/>
      </w:pPr>
      <w:r>
        <w:t>BE core/views.py:511</w:t>
      </w:r>
    </w:p>
    <w:p>
      <w:pPr>
        <w:pStyle w:val="ListBullet"/>
      </w:pPr>
      <w:r>
        <w:t>src/features/requests/utils/ticket-detail.ts:46</w:t>
      </w:r>
    </w:p>
    <w:p>
      <w:r>
        <w:t>Phương án xử lý: Chốt quy tắc với nghiệp vụ: giữ quyền đọc cho người được giao hoặc buộc chuyển giao trước khi gỡ khỏi bộ phận. Đồng bộ cả read permission và action permission; cần test riêng handler bị gỡ ở trạng thái 3.</w:t>
      </w:r>
    </w:p>
    <w:p>
      <w:r>
        <w:t>Mức kiểm chứng: Xác nhận bằng đọc điều kiện GET và quan hệ phân công; chưa gỡ thành viên thật trong lượt này. Các ca live trước chỉ kiểm chứng gỡ thành viên tại bước 8, không thay thế ca này.</w:t>
      </w:r>
    </w:p>
    <w:p>
      <w:pPr>
        <w:pStyle w:val="Heading2"/>
      </w:pPr>
      <w:r>
        <w:t>A05 – Nhóm quyền bổ sung chỉ cộng thêm, không thay thế hoặc gỡ</w:t>
      </w:r>
    </w:p>
    <w:p>
      <w:r>
        <w:t>Mức độ: Cao • Liên quan hướng dẫn: 13.2, 13.7</w:t>
      </w:r>
    </w:p>
    <w:p>
      <w:r>
        <w:t>Hiện trạng và tác động: FE hiển thị một Select “Nhóm quyền bổ sung”. BE usermmanager PUT gọi ls_permission.add cho giá trị mới; không set/clear/remove khi đổi hoặc bỏ chọn. Vì vậy có thể tồn tại cả quyền cũ và quyền mới sau khi lưu.</w:t>
      </w:r>
    </w:p>
    <w:p>
      <w:r>
        <w:t>Bằng chứng:</w:t>
      </w:r>
    </w:p>
    <w:p>
      <w:pPr>
        <w:pStyle w:val="ListBullet"/>
      </w:pPr>
      <w:r>
        <w:t>src/features/settings/utils/settings-config.ts:48</w:t>
      </w:r>
    </w:p>
    <w:p>
      <w:pPr>
        <w:pStyle w:val="ListBullet"/>
      </w:pPr>
      <w:r>
        <w:t>BE core/views.py:2166</w:t>
      </w:r>
    </w:p>
    <w:p>
      <w:pPr>
        <w:pStyle w:val="ListBullet"/>
      </w:pPr>
      <w:r>
        <w:t>BE core/views.py:2205</w:t>
      </w:r>
    </w:p>
    <w:p>
      <w:r>
        <w:t>Phương án xử lý: Làm rõ chọn một hay nhiều nhóm. Nếu chọn một, BE thay đúng nhóm thuộc phạm vi được quản trị và hỗ trợ gỡ khi bỏ chọn; tránh clear các nhóm nghiệp vụ khác ngoài ý định người dùng. Readback quyền sau lưu.</w:t>
      </w:r>
    </w:p>
    <w:p>
      <w:r>
        <w:t>Mức kiểm chứng: AST xác nhận cả create và update chỉ có add; không có set/clear/remove trong hàm. Không thay đổi quyền user thật.</w:t>
      </w:r>
    </w:p>
    <w:p>
      <w:pPr>
        <w:pStyle w:val="Heading2"/>
      </w:pPr>
      <w:r>
        <w:t>A06 – Người phụ trách ứng viên được FE cho sửa nhưng BE không lưu trường đó</w:t>
      </w:r>
    </w:p>
    <w:p>
      <w:r>
        <w:t>Mức độ: Vừa • Liên quan hướng dẫn: 11.3</w:t>
      </w:r>
    </w:p>
    <w:p>
      <w:r>
        <w:t>Hiện trạng và tác động: FE mở chọn nhiều ls_user_received và gửi qua values. BE DetailCV PUT không sử dụng key này; GET trả người phụ trách từ ListRecruitment.user_received. Người dùng có thể thấy lưu thành công nhưng lựa chọn không được áp dụng.</w:t>
      </w:r>
    </w:p>
    <w:p>
      <w:r>
        <w:t>Bằng chứng:</w:t>
      </w:r>
    </w:p>
    <w:p>
      <w:pPr>
        <w:pStyle w:val="ListBullet"/>
      </w:pPr>
      <w:r>
        <w:t>src/features/recruitment/utils/recruitment-fields.ts:170</w:t>
      </w:r>
    </w:p>
    <w:p>
      <w:pPr>
        <w:pStyle w:val="ListBullet"/>
      </w:pPr>
      <w:r>
        <w:t>BE core/views_cv.py:344</w:t>
      </w:r>
    </w:p>
    <w:p>
      <w:pPr>
        <w:pStyle w:val="ListBullet"/>
      </w:pPr>
      <w:r>
        <w:t>BE core/views_cv.py:499</w:t>
      </w:r>
    </w:p>
    <w:p>
      <w:r>
        <w:t>Phương án xử lý: Nếu trách nhiệm thuộc yêu cầu tuyển dụng/ticket, hiển thị chỉ đọc và hướng dẫn phân công tại nguồn; nếu cho thay riêng hồ sơ thì BE cần endpoint và mô hình dữ liệu hỗ trợ tương ứng.</w:t>
      </w:r>
    </w:p>
    <w:p>
      <w:r>
        <w:t>Mức kiểm chứng: Đã đọc GET/PUT và kiểm tra AST: hàm DetailCV không có thao tác ghi ls_user_received. Không đổi phân công dữ liệu thật.</w:t>
      </w:r>
    </w:p>
    <w:p>
      <w:pPr>
        <w:pStyle w:val="Heading2"/>
      </w:pPr>
      <w:r>
        <w:t>A07 – Nhãn bộ lọc trạng thái yêu cầu tuyển dụng bị gán sai ID</w:t>
      </w:r>
    </w:p>
    <w:p>
      <w:r>
        <w:t>Mức độ: Vừa • Liên quan hướng dẫn: 11.1</w:t>
      </w:r>
    </w:p>
    <w:p>
      <w:r>
        <w:t>Hiện trạng và tác động: FE đang gắn 4 với “Hoàn thành”, 7 với “Hủy” và thiếu 5. API thật trả 4=Hủy, 5=Hoàn thành, 7=Đóng. Người dùng lọc theo nhãn có thể nhận kết quả mang ý nghĩa khác.</w:t>
      </w:r>
    </w:p>
    <w:p>
      <w:r>
        <w:t>Bằng chứng:</w:t>
      </w:r>
    </w:p>
    <w:p>
      <w:pPr>
        <w:pStyle w:val="ListBullet"/>
      </w:pPr>
      <w:r>
        <w:t>src/features/recruitment/components/recruitment-filters.tsx:121</w:t>
      </w:r>
    </w:p>
    <w:p>
      <w:pPr>
        <w:pStyle w:val="ListBullet"/>
      </w:pPr>
      <w:r>
        <w:t>src/features/recruitment/components/recruitment-filters.tsx:123</w:t>
      </w:r>
    </w:p>
    <w:p>
      <w:pPr>
        <w:pStyle w:val="ListBullet"/>
      </w:pPr>
      <w:r>
        <w:t>GET /api/list_ticketstatus/: 4 Hủy; 5 Hoàn thành; 7 Đóng</w:t>
      </w:r>
    </w:p>
    <w:p>
      <w:r>
        <w:t>Phương án xử lý: Lấy nhãn/ID từ danh mục BE hoặc từ một mapping thống nhất có kiểm tra. Nếu tuyển dụng chỉ hỗ trợ một số trạng thái, lọc danh mục đúng các ID đó thay vì đổi tên ID.</w:t>
      </w:r>
    </w:p>
    <w:p>
      <w:r>
        <w:t>Mức kiểm chứng: Xác nhận bằng code FE và GET API thật ngày 22/10/2026; không đổi trạng thái ticket.</w:t>
      </w:r>
    </w:p>
    <w:p>
      <w:pPr>
        <w:pStyle w:val="Heading2"/>
      </w:pPr>
      <w:r>
        <w:t>A08 – Giới hạn tệp của yêu cầu tuyển dụng lệch FE 50 MB và BE 10 MB</w:t>
      </w:r>
    </w:p>
    <w:p>
      <w:r>
        <w:t>Mức độ: Vừa • Liên quan hướng dẫn: 11.1, 11.2, 11.5</w:t>
      </w:r>
    </w:p>
    <w:p>
      <w:r>
        <w:t>Hiện trạng và tác động: Form tuyển dụng đặt file_upload của action request tối đa 50 MB. BE DetailYCTD từ chối khi vượt 10 MB. Tệp từ hơn 10 đến 50 MB có thể chọn hợp lệ trên FE nhưng bị lỗi khi lưu.</w:t>
      </w:r>
    </w:p>
    <w:p>
      <w:r>
        <w:t>Bằng chứng:</w:t>
      </w:r>
    </w:p>
    <w:p>
      <w:pPr>
        <w:pStyle w:val="ListBullet"/>
      </w:pPr>
      <w:r>
        <w:t>src/features/recruitment/components/recruitment-editor-form.tsx:167</w:t>
      </w:r>
    </w:p>
    <w:p>
      <w:pPr>
        <w:pStyle w:val="ListBullet"/>
      </w:pPr>
      <w:r>
        <w:t>BE core/views_recruitment.py:336</w:t>
      </w:r>
    </w:p>
    <w:p>
      <w:r>
        <w:t>Phương án xử lý: Thống nhất 10 MB nếu giữ BE hiện tại; dùng chung cấu hình giới hạn và mô tả. Nếu muốn 50 MB cần đổi BE và kiểm tra giới hạn proxy/storage. CV 10 MB và ghi chú 50 MB hiện đã khớp.</w:t>
      </w:r>
    </w:p>
    <w:p>
      <w:r>
        <w:t>Mức kiểm chứng: Xác nhận giới hạn ở hai lớp bằng đọc source; không tải tệp lớn vào hệ thống thật.</w:t>
      </w:r>
    </w:p>
    <w:p>
      <w:pPr>
        <w:pStyle w:val="Heading2"/>
      </w:pPr>
      <w:r>
        <w:t>A09 – Tên Quận/Huyện cũ trong chi tiết ứng viên có thể sai</w:t>
      </w:r>
    </w:p>
    <w:p>
      <w:r>
        <w:t>Mức độ: Vừa • Liên quan hướng dẫn: 11.2, 12.4</w:t>
      </w:r>
    </w:p>
    <w:p>
      <w:r>
        <w:t>Hiện trạng và tác động: BE vòng lặp tìm District gán district_name = iCity["name"] thay vì iDi["name"]. FE trang xem hồ sơ ưu tiên district_name từ BE nên có thể hiển thị nhầm tên tỉnh/thành; khi danh mục tỉnh rỗng còn có nguy cơ biến iCity chưa tồn tại.</w:t>
      </w:r>
    </w:p>
    <w:p>
      <w:r>
        <w:t>Bằng chứng:</w:t>
      </w:r>
    </w:p>
    <w:p>
      <w:pPr>
        <w:pStyle w:val="ListBullet"/>
      </w:pPr>
      <w:r>
        <w:t>BE core/views_cv.py:371</w:t>
      </w:r>
    </w:p>
    <w:p>
      <w:pPr>
        <w:pStyle w:val="ListBullet"/>
      </w:pPr>
      <w:r>
        <w:t>src/features/recruitment/components/recruitment-candidate-profile.tsx:71</w:t>
      </w:r>
    </w:p>
    <w:p>
      <w:r>
        <w:t>Phương án xử lý: Sửa BE gán đúng district và kiểm tra trường hợp không tìm thấy; FE kiểm tra tên theo mã địa chỉ, không coi mọi chuỗi trả về là tên hợp lệ.</w:t>
      </w:r>
    </w:p>
    <w:p>
      <w:r>
        <w:t>Mức kiểm chứng: Xác nhận biểu thức gán trong source, không cập nhật địa chỉ thật. Danh mục địa chỉ mới là dịch vụ ngoài và cần được xem là phụ thuộc riêng.</w:t>
      </w:r>
    </w:p>
    <w:p>
      <w:pPr>
        <w:pStyle w:val="Heading2"/>
      </w:pPr>
      <w:r>
        <w:t>A10 – Tìm kiếm email tại Chi tiết CV phỏng vấn chưa được BE hỗ trợ</w:t>
      </w:r>
    </w:p>
    <w:p>
      <w:r>
        <w:t>Mức độ: Vừa • Liên quan hướng dẫn: 12.4</w:t>
      </w:r>
    </w:p>
    <w:p>
      <w:r>
        <w:t>Hiện trạng và tác động: FE và hướng dẫn mô tả tìm theo tên, email, điện thoại. BE RegistationIntervew GET chỉ lọc first_name hoặc numberphone, không có email trong điều kiện search.</w:t>
      </w:r>
    </w:p>
    <w:p>
      <w:r>
        <w:t>Bằng chứng:</w:t>
      </w:r>
    </w:p>
    <w:p>
      <w:pPr>
        <w:pStyle w:val="ListBullet"/>
      </w:pPr>
      <w:r>
        <w:t>src/features/recruitment/components/interview-candidate-filters.tsx:59</w:t>
      </w:r>
    </w:p>
    <w:p>
      <w:pPr>
        <w:pStyle w:val="ListBullet"/>
      </w:pPr>
      <w:r>
        <w:t>BE core/views_interview.py:289</w:t>
      </w:r>
    </w:p>
    <w:p>
      <w:r>
        <w:t>Phương án xử lý: Thêm điều kiện email ở BE hoặc đổi placeholder/hướng dẫn thành đúng phạm vi tên và điện thoại. Kiểm tra dữ liệu thử có email không chứa tên/số để tránh ca dương tính giả.</w:t>
      </w:r>
    </w:p>
    <w:p>
      <w:r>
        <w:t>Mức kiểm chứng: Đọc điều kiện query thực tế; không tạo lịch/ứng viên mới.</w:t>
      </w:r>
    </w:p>
    <w:p>
      <w:pPr>
        <w:pStyle w:val="Heading2"/>
      </w:pPr>
      <w:r>
        <w:t>A11 – User không có Chức vụ vẫn làm lỗi API quyền ở BE</w:t>
      </w:r>
    </w:p>
    <w:p>
      <w:r>
        <w:t>Mức độ: Vừa • Liên quan hướng dẫn: 2, 13.2</w:t>
      </w:r>
    </w:p>
    <w:p>
      <w:r>
        <w:t>Hiện trạng và tác động: FE form bắt buộc chức vụ nhưng dữ liệu cũ hoặc user tạo ngoài FE có thể chucvu=null. BE get_user_permission/get_list_button truy cập trực tiếp chucvu.permission. Vì vậy đăng nhập lấy token được nhưng khôi phục tài khoản hoặc xem ticket có thể lỗi.</w:t>
      </w:r>
    </w:p>
    <w:p>
      <w:r>
        <w:t>Bằng chứng:</w:t>
      </w:r>
    </w:p>
    <w:p>
      <w:pPr>
        <w:pStyle w:val="ListBullet"/>
      </w:pPr>
      <w:r>
        <w:t>BE core/crud.py:39</w:t>
      </w:r>
    </w:p>
    <w:p>
      <w:pPr>
        <w:pStyle w:val="ListBullet"/>
      </w:pPr>
      <w:r>
        <w:t>BE core/crud.py:107</w:t>
      </w:r>
    </w:p>
    <w:p>
      <w:pPr>
        <w:pStyle w:val="ListBullet"/>
      </w:pPr>
      <w:r>
        <w:t>tests/artifacts/ticket-user-no-position-api.json: token 200, list_permission 500 (lượt trước)</w:t>
      </w:r>
    </w:p>
    <w:p>
      <w:r>
        <w:t>Phương án xử lý: BE xử lý null chức vụ thành tập quyền rỗng theo chính sách; kiểm tra quyền bộ phận độc lập và trả lỗi có cấu trúc. Giữ validation FE nhưng không dùng nó thay xử lý dữ liệu cũ ở server.</w:t>
      </w:r>
    </w:p>
    <w:p>
      <w:r>
        <w:t>Mức kiểm chứng: Source hiện vẫn có truy cập null không guard; kết quả API thật trước đây đã ghi lỗi 500. Không đăng nhập hoặc sửa user thiếu chức vụ trong lượt này.</w:t>
      </w:r>
    </w:p>
    <w:p>
      <w:pPr>
        <w:pStyle w:val="Heading2"/>
      </w:pPr>
      <w:r>
        <w:t>A12 – Trường riêng tư: BE có ngoại lệ superuser, FE không có</w:t>
      </w:r>
    </w:p>
    <w:p>
      <w:r>
        <w:t>Mức độ: Cần chốt • Liên quan hướng dẫn: 14.4</w:t>
      </w:r>
    </w:p>
    <w:p>
      <w:r>
        <w:t>Hiện trạng và tác động: BE mask_dataform_if_not_allowed giữ dữ liệu riêng tư cho superuser, nhưng canViewTicketField của FE chỉ xét người tạo hoặc người xử lý. Do đó admin không thuộc hai vai trò có thể nhận dữ liệu từ BE mà UI ẩn đi; đây là khác biệt cần chốt, không nên tự xem admin mặc nhiên có quyền sửa.</w:t>
      </w:r>
    </w:p>
    <w:p>
      <w:r>
        <w:t>Bằng chứng:</w:t>
      </w:r>
    </w:p>
    <w:p>
      <w:pPr>
        <w:pStyle w:val="ListBullet"/>
      </w:pPr>
      <w:r>
        <w:t>BE core/views.py:413</w:t>
      </w:r>
    </w:p>
    <w:p>
      <w:pPr>
        <w:pStyle w:val="ListBullet"/>
      </w:pPr>
      <w:r>
        <w:t>src/features/requests/utils/ticket-detail.ts:72</w:t>
      </w:r>
    </w:p>
    <w:p>
      <w:r>
        <w:t>Phương án xử lý: Chốt có hay không ngoại lệ superuser cho quyền xem trường. Thống nhất cả dữ liệu API, UI xem và clone; quyền sửa vẫn kiểm tra riêng.</w:t>
      </w:r>
    </w:p>
    <w:p>
      <w:r>
        <w:t>Mức kiểm chứng: Đối chiếu hai predicate; chưa đổi cấu hình trường hoặc mở dữ liệu riêng tư của người thật.</w:t>
      </w:r>
    </w:p>
    <w:p>
      <w:pPr>
        <w:pStyle w:val="Heading1"/>
      </w:pPr>
      <w:r>
        <w:t>3. Đọc lại hướng dẫn với các điểm cần hiệu chỉnh</w:t>
      </w:r>
    </w:p>
    <w:p>
      <w:r>
        <w:t>File hướng dẫn ban đầu mô tả hành vi nhìn thấy trên UI, không phải biên bản xác nhận mọi chức năng đã lưu đúng ở BE. Với các mục dưới đây, nên hiệu chỉnh tài liệu sau khi chốt/sửa hợp đồng; không viết hướng dẫn theo kết quả mong muốn khi dữ liệu thực tế chưa đảm bảo.</w:t>
      </w:r>
    </w:p>
    <w:tbl>
      <w:tblPr>
        <w:tblStyle w:val="TableGrid"/>
        <w:tblW w:type="auto" w:w="0"/>
        <w:jc w:val="center"/>
        <w:tblLayout w:type="fixed"/>
        <w:tblLook w:firstColumn="1" w:firstRow="1" w:lastColumn="0" w:lastRow="0" w:noHBand="0" w:noVBand="1" w:val="04A0"/>
      </w:tblPr>
      <w:tblGrid>
        <w:gridCol w:w="2268"/>
        <w:gridCol w:w="7370"/>
      </w:tblGrid>
      <w:tr>
        <w:trPr>
          <w:tblHeader/>
          <w:cantSplit/>
        </w:trPr>
        <w:tc>
          <w:tcPr>
            <w:tcW w:type="dxa" w:w="4819"/>
            <w:shd w:fill="6468AF"/>
            <w:vAlign w:val="center"/>
          </w:tcPr>
          <w:p>
            <w:pPr>
              <w:spacing w:after="80" w:before="80" w:line="252" w:lineRule="auto"/>
            </w:pPr>
            <w:r>
              <w:rPr>
                <w:b/>
                <w:color w:val="FFFFFF"/>
                <w:sz w:val="18"/>
              </w:rPr>
              <w:t>Mục</w:t>
            </w:r>
          </w:p>
        </w:tc>
        <w:tc>
          <w:tcPr>
            <w:tcW w:type="dxa" w:w="4819"/>
            <w:shd w:fill="6468AF"/>
            <w:vAlign w:val="center"/>
          </w:tcPr>
          <w:p>
            <w:pPr>
              <w:spacing w:after="80" w:before="80" w:line="252" w:lineRule="auto"/>
            </w:pPr>
            <w:r>
              <w:rPr>
                <w:b/>
                <w:color w:val="FFFFFF"/>
                <w:sz w:val="18"/>
              </w:rPr>
              <w:t>Điều cần bổ sung / sửa trong lần phát hành tiếp</w:t>
            </w:r>
          </w:p>
        </w:tc>
      </w:tr>
      <w:tr>
        <w:trPr>
          <w:cantSplit/>
        </w:trPr>
        <w:tc>
          <w:tcPr>
            <w:tcW w:type="dxa" w:w="2268"/>
            <w:vAlign w:val="center"/>
          </w:tcPr>
          <w:p>
            <w:pPr>
              <w:spacing w:after="80" w:before="80" w:line="252" w:lineRule="auto"/>
            </w:pPr>
            <w:r>
              <w:rPr>
                <w:sz w:val="18"/>
              </w:rPr>
              <w:t>6.4 và 14</w:t>
            </w:r>
          </w:p>
        </w:tc>
        <w:tc>
          <w:tcPr>
            <w:tcW w:type="dxa" w:w="7370"/>
            <w:vAlign w:val="center"/>
          </w:tcPr>
          <w:p>
            <w:pPr>
              <w:spacing w:after="80" w:before="80" w:line="252" w:lineRule="auto"/>
            </w:pPr>
            <w:r>
              <w:rPr>
                <w:sz w:val="18"/>
              </w:rPr>
              <w:t>Khóa/riêng tư/bắt buộc ở FE chưa đồng nghĩa server cưỡng chế. Nêu rõ required + không đổi ở phần chỉ sau tạo là cấu hình chưa hỗ trợ nhập lần đầu rồi khóa.</w:t>
            </w:r>
          </w:p>
        </w:tc>
      </w:tr>
      <w:tr>
        <w:trPr>
          <w:cantSplit/>
        </w:trPr>
        <w:tc>
          <w:tcPr>
            <w:tcW w:type="dxa" w:w="2268"/>
            <w:vAlign w:val="center"/>
          </w:tcPr>
          <w:p>
            <w:pPr>
              <w:spacing w:after="80" w:before="80" w:line="252" w:lineRule="auto"/>
            </w:pPr>
            <w:r>
              <w:rPr>
                <w:sz w:val="18"/>
              </w:rPr>
              <w:t>7.2</w:t>
            </w:r>
          </w:p>
        </w:tc>
        <w:tc>
          <w:tcPr>
            <w:tcW w:type="dxa" w:w="7370"/>
            <w:vAlign w:val="center"/>
          </w:tcPr>
          <w:p>
            <w:pPr>
              <w:spacing w:after="80" w:before="80" w:line="252" w:lineRule="auto"/>
            </w:pPr>
            <w:r>
              <w:rPr>
                <w:sz w:val="18"/>
              </w:rPr>
              <w:t>Bổ sung kiểm tra trường hợp gỡ thành viên đang xử lý ở trạng thái 3: phân công còn nhưng quyền xem có thể mất.</w:t>
            </w:r>
          </w:p>
        </w:tc>
      </w:tr>
      <w:tr>
        <w:trPr>
          <w:cantSplit/>
        </w:trPr>
        <w:tc>
          <w:tcPr>
            <w:tcW w:type="dxa" w:w="2268"/>
            <w:vAlign w:val="center"/>
          </w:tcPr>
          <w:p>
            <w:pPr>
              <w:spacing w:after="80" w:before="80" w:line="252" w:lineRule="auto"/>
            </w:pPr>
            <w:r>
              <w:rPr>
                <w:sz w:val="18"/>
              </w:rPr>
              <w:t>11.1</w:t>
            </w:r>
          </w:p>
        </w:tc>
        <w:tc>
          <w:tcPr>
            <w:tcW w:type="dxa" w:w="7370"/>
            <w:vAlign w:val="center"/>
          </w:tcPr>
          <w:p>
            <w:pPr>
              <w:spacing w:after="80" w:before="80" w:line="252" w:lineRule="auto"/>
            </w:pPr>
            <w:r>
              <w:rPr>
                <w:sz w:val="18"/>
              </w:rPr>
              <w:t>Tệp yêu cầu tuyển dụng thực tế theo BE là 10 MB; FE hiện cần thống nhất lại.</w:t>
            </w:r>
          </w:p>
        </w:tc>
      </w:tr>
      <w:tr>
        <w:trPr>
          <w:cantSplit/>
        </w:trPr>
        <w:tc>
          <w:tcPr>
            <w:tcW w:type="dxa" w:w="2268"/>
            <w:vAlign w:val="center"/>
          </w:tcPr>
          <w:p>
            <w:pPr>
              <w:spacing w:after="80" w:before="80" w:line="252" w:lineRule="auto"/>
            </w:pPr>
            <w:r>
              <w:rPr>
                <w:sz w:val="18"/>
              </w:rPr>
              <w:t>11.3</w:t>
            </w:r>
          </w:p>
        </w:tc>
        <w:tc>
          <w:tcPr>
            <w:tcW w:type="dxa" w:w="7370"/>
            <w:vAlign w:val="center"/>
          </w:tcPr>
          <w:p>
            <w:pPr>
              <w:spacing w:after="80" w:before="80" w:line="252" w:lineRule="auto"/>
            </w:pPr>
            <w:r>
              <w:rPr>
                <w:sz w:val="18"/>
              </w:rPr>
              <w:t>Chưa thể bảo đảm Sửa hồ sơ giữ trạng thái và lưu người phụ trách. Không hướng dẫn người dùng dùng chức năng này như thao tác độc lập hoàn toàn với trạng thái cho tới khi A03/A06 được xử lý.</w:t>
            </w:r>
          </w:p>
        </w:tc>
      </w:tr>
      <w:tr>
        <w:trPr>
          <w:cantSplit/>
        </w:trPr>
        <w:tc>
          <w:tcPr>
            <w:tcW w:type="dxa" w:w="2268"/>
            <w:vAlign w:val="center"/>
          </w:tcPr>
          <w:p>
            <w:pPr>
              <w:spacing w:after="80" w:before="80" w:line="252" w:lineRule="auto"/>
            </w:pPr>
            <w:r>
              <w:rPr>
                <w:sz w:val="18"/>
              </w:rPr>
              <w:t>12.4</w:t>
            </w:r>
          </w:p>
        </w:tc>
        <w:tc>
          <w:tcPr>
            <w:tcW w:type="dxa" w:w="7370"/>
            <w:vAlign w:val="center"/>
          </w:tcPr>
          <w:p>
            <w:pPr>
              <w:spacing w:after="80" w:before="80" w:line="252" w:lineRule="auto"/>
            </w:pPr>
            <w:r>
              <w:rPr>
                <w:sz w:val="18"/>
              </w:rPr>
              <w:t>Nếu chưa sửa BE tìm email, hướng dẫn đúng là tìm tên hoặc số điện thoại.</w:t>
            </w:r>
          </w:p>
        </w:tc>
      </w:tr>
      <w:tr>
        <w:trPr>
          <w:cantSplit/>
        </w:trPr>
        <w:tc>
          <w:tcPr>
            <w:tcW w:type="dxa" w:w="2268"/>
            <w:vAlign w:val="center"/>
          </w:tcPr>
          <w:p>
            <w:pPr>
              <w:spacing w:after="80" w:before="80" w:line="252" w:lineRule="auto"/>
            </w:pPr>
            <w:r>
              <w:rPr>
                <w:sz w:val="18"/>
              </w:rPr>
              <w:t>13.2 / 13.7</w:t>
            </w:r>
          </w:p>
        </w:tc>
        <w:tc>
          <w:tcPr>
            <w:tcW w:type="dxa" w:w="7370"/>
            <w:vAlign w:val="center"/>
          </w:tcPr>
          <w:p>
            <w:pPr>
              <w:spacing w:after="80" w:before="80" w:line="252" w:lineRule="auto"/>
            </w:pPr>
            <w:r>
              <w:rPr>
                <w:sz w:val="18"/>
              </w:rPr>
              <w:t>Đổi/bỏ chọn Nhóm quyền bổ sung chưa gỡ quyền đã có ở BE. Không coi một lần đổi Select là đã thu hồi quyền cũ.</w:t>
            </w:r>
          </w:p>
        </w:tc>
      </w:tr>
      <w:tr>
        <w:trPr>
          <w:cantSplit/>
        </w:trPr>
        <w:tc>
          <w:tcPr>
            <w:tcW w:type="dxa" w:w="2268"/>
            <w:vAlign w:val="center"/>
          </w:tcPr>
          <w:p>
            <w:pPr>
              <w:spacing w:after="80" w:before="80" w:line="252" w:lineRule="auto"/>
            </w:pPr>
            <w:r>
              <w:rPr>
                <w:sz w:val="18"/>
              </w:rPr>
              <w:t>14.4</w:t>
            </w:r>
          </w:p>
        </w:tc>
        <w:tc>
          <w:tcPr>
            <w:tcW w:type="dxa" w:w="7370"/>
            <w:vAlign w:val="center"/>
          </w:tcPr>
          <w:p>
            <w:pPr>
              <w:spacing w:after="80" w:before="80" w:line="252" w:lineRule="auto"/>
            </w:pPr>
            <w:r>
              <w:rPr>
                <w:sz w:val="18"/>
              </w:rPr>
              <w:t>Chốt ngoại lệ superuser của trường riêng tư trước khi diễn giải quản trị viên được/không được xem.</w:t>
            </w:r>
          </w:p>
        </w:tc>
      </w:tr>
    </w:tbl>
    <w:p/>
    <w:p>
      <w:pPr>
        <w:pStyle w:val="Heading1"/>
      </w:pPr>
      <w:r>
        <w:t>4. Thứ tự sửa và kiểm thử lại</w:t>
      </w:r>
    </w:p>
    <w:p>
      <w:r>
        <w:t>1. Ưu tiên A01/A02: đưa kiểm tra quyền và validation xuống BE. Viết test quyền đối tượng, trạng thái sai, người nhận ngoài bộ phận, chỉnh field khóa và sửa bình luận người khác.</w:t>
      </w:r>
    </w:p>
    <w:p>
      <w:r>
        <w:t>2. Sửa A03 trước khi cho sửa hồ sơ CV trên môi trường sử dụng: đổi trạng thái bằng endpoint riêng, sửa hồ sơ rồi readback phải giữ nguyên trạng thái/lý do và không tạo lịch sử đổi trạng thái giả.</w:t>
      </w:r>
    </w:p>
    <w:p>
      <w:r>
        <w:t>3. Sửa A04/A05: kiểm thử đổi quản lý, gỡ thành viên đang nhận việc và thay/xóa nhóm quyền bổ sung; kiểm tra quyền sau reload và đăng nhập lại.</w:t>
      </w:r>
    </w:p>
    <w:p>
      <w:r>
        <w:t>4. Thống nhất các hợp đồng FE–BE A06–A10: trách nhiệm ứng viên, nhãn trạng thái, tệp 10 MB, tên địa chỉ và tìm email.</w:t>
      </w:r>
    </w:p>
    <w:p>
      <w:r>
        <w:t>5. Sửa A11 và chốt A12; kiểm thử tài khoản dữ liệu cũ và ngoại lệ admin theo chính sách đã duyệt.</w:t>
      </w:r>
    </w:p>
    <w:p>
      <w:r>
        <w:t>6. Sau khi sửa, chạy kiểm thử ghi trên ticket/user/ứng viên TEST riêng và lưu readback. Chạy lại bộ FE, thêm test hợp đồng không chỉ mock phản hồi mong muốn, rồi cập nhật tài liệu hướng dẫn.</w:t>
      </w:r>
    </w:p>
    <w:p>
      <w:r>
        <w:t>Các ca live viết cần kiểm tra tiếp: sửa CV đang ở mọi trạng thái khác 1; đổi/bỏ nhóm quyền; người đang xử lý bị gỡ khỏi bộ phận; các tổ hợp quyền field với request trực tiếp; tệp sát giới hạn; lọc trạng thái theo nhãn; tìm email chỉ có trong email; thành công từng phần và mất response. Chưa đánh dấu các ca này đã chạy thật trong lượt chỉ đọc.</w:t>
      </w:r>
    </w:p>
    <w:p>
      <w:pPr>
        <w:pStyle w:val="Heading1"/>
      </w:pPr>
      <w:r>
        <w:t>5. Bằng chứng và khả năng tái kiểm tra</w:t>
      </w:r>
    </w:p>
    <w:p>
      <w:r>
        <w:t>Tệp evidence: tests/artifacts/ticket-docs-fe-be-audit-20261022.json. Có metadata của 37 GET, ánh xạ 74 route, kết quả contract cô lập, danh sách điểm lệch và hash của các file BE đã đọc. Không chứa token, mật khẩu hay bản sao dữ liệu cá nhân.</w:t>
      </w:r>
    </w:p>
    <w:p>
      <w:r>
        <w:t>Bộ FE vừa chạy: tests/ticket-actions.test.tsx; tests/request-detail.test.tsx; tests/recruitment.test.tsx; tests/settings.test.tsx. Kết quả: 4 file, 270 tests, đều đạt. Không sửa code ứng dụng trong lượt kiểm tra này.</w:t>
      </w:r>
    </w:p>
    <w:p>
      <w:r>
        <w:t>Đường dẫn source BE đối chiếu: /home/website/ticketV2/be/ticket-2.0/core. Đối chiếu source trên máy chủ và API đọc không xác minh toàn bộ cấu hình worker/proxy đang chạy. Những kết luận từ static/isolated đều đã phân biệt với kết quả API thật; không suy diễn thành kiểm thử ghi thành công trên production.</w:t>
      </w:r>
    </w:p>
    <w:sectPr w:rsidR="00FC693F" w:rsidRPr="0006063C" w:rsidSect="00034616">
      <w:headerReference w:type="default" r:id="rId9"/>
      <w:foot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Tài liệu nội bộ • Phiên bản 1.0 • 22/10/2026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8AF"/>
        <w:sz w:val="16"/>
      </w:rPr>
      <w:t>RAINSCALES  /  TICKET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823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40"/>
      <w:outlineLvl w:val="0"/>
    </w:pPr>
    <w:rPr>
      <w:rFonts w:asciiTheme="majorHAnsi" w:eastAsiaTheme="majorEastAsia" w:hAnsiTheme="majorHAnsi" w:cstheme="majorBidi" w:ascii="Arial" w:hAnsi="Arial"/>
      <w:b/>
      <w:bCs/>
      <w:color w:val="6468AF"/>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6468AF"/>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6468A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rial" w:hAnsi="Arial"/>
      <w:color w:val="6468A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Arial" w:hAnsi="Arial"/>
      <w:i/>
      <w:iCs/>
      <w:color w:val="6468A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Rainscales Ticket – Đối chiếu tài liệu, FE và BE</dc:title>
  <dc:subject>Rà soát chỉ đọc hợp đồng nghiệp vụ và các điểm chưa khớp</dc:subject>
  <dc:creator>Rainscales</dc:creator>
  <cp:keywords>Ticket, yêu cầu, phê duyệt, xử lý, tuyển dụng, cấu hình, hướng dẫn</cp:keywords>
  <dc:description>generated by python-docx</dc:description>
  <cp:lastModifiedBy/>
  <cp:revision>1</cp:revision>
  <dcterms:created xsi:type="dcterms:W3CDTF">2013-12-23T23:15:00Z</dcterms:created>
  <dcterms:modified xsi:type="dcterms:W3CDTF">2013-12-23T23:15:00Z</dcterms:modified>
  <cp:category/>
</cp:coreProperties>
</file>