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  <w:r w:rsidR="00A735C0">
        <w:rPr>
          <w:b/>
          <w:sz w:val="28"/>
        </w:rPr>
        <w:t xml:space="preserve">  + 03 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Pr="00DA5366" w:rsidRDefault="00B90681" w:rsidP="00822B69">
            <w:pPr>
              <w:spacing w:line="360" w:lineRule="auto"/>
              <w:rPr>
                <w:lang w:val="vi-VN"/>
              </w:rPr>
            </w:pPr>
            <w:r>
              <w:t>3. Histories</w:t>
            </w:r>
            <w:bookmarkStart w:id="0" w:name="_GoBack"/>
            <w:bookmarkEnd w:id="0"/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154807"/>
    <w:rsid w:val="00157511"/>
    <w:rsid w:val="001F208D"/>
    <w:rsid w:val="00292A28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32A3E"/>
    <w:rsid w:val="00977ED3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97C7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52</cp:revision>
  <dcterms:created xsi:type="dcterms:W3CDTF">2024-05-28T08:40:00Z</dcterms:created>
  <dcterms:modified xsi:type="dcterms:W3CDTF">2024-06-08T09:57:00Z</dcterms:modified>
</cp:coreProperties>
</file>