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E65100"/>
          <w:spacing w:val="100"/>
          <w:sz w:val="20"/>
          <w:szCs w:val="20"/>
        </w:rPr>
        <w:t xml:space="preserve">#AiDayBanLamCEO</w:t>
      </w:r>
    </w:p>
    <w:p>
      <w:pPr>
        <w:spacing w:after="80"/>
      </w:pPr>
    </w:p>
    <w:p>
      <w:pPr>
        <w:spacing w:after="80"/>
        <w:jc w:val="center"/>
      </w:pPr>
      <w:r>
        <w:rPr>
          <w:rFonts w:ascii="Arial" w:cs="Arial" w:eastAsia="Arial" w:hAnsi="Arial"/>
          <w:b/>
          <w:bCs/>
          <w:color w:val="0D47A1"/>
          <w:sz w:val="52"/>
          <w:szCs w:val="52"/>
        </w:rPr>
        <w:t xml:space="preserve">"TẠM DẪNG"</w:t>
      </w:r>
    </w:p>
    <w:p>
      <w:pPr>
        <w:spacing w:after="200"/>
        <w:jc w:val="center"/>
      </w:pPr>
      <w:r>
        <w:rPr>
          <w:rFonts w:ascii="Arial" w:cs="Arial" w:eastAsia="Arial" w:hAnsi="Arial"/>
          <w:b/>
          <w:bCs/>
          <w:color w:val="1565C0"/>
          <w:sz w:val="36"/>
          <w:szCs w:val="36"/>
        </w:rPr>
        <w:t xml:space="preserve">ĐỂ TÁI ĐịNH NGHĨA GIÁ TRỊ DOANH NGHIỆP</w:t>
      </w:r>
    </w:p>
    <w:p>
      <w:pPr>
        <w:pBdr>
          <w:bottom w:val="single" w:color="E65100" w:sz="6" w:space="1"/>
        </w:pBdr>
        <w:spacing w:after="100"/>
        <w:jc w:val="center"/>
      </w:pPr>
    </w:p>
    <w:p>
      <w:pPr>
        <w:spacing w:after="200"/>
      </w:pPr>
    </w:p>
    <w:p>
      <w:pPr>
        <w:spacing w:after="80"/>
        <w:jc w:val="center"/>
      </w:pPr>
      <w:r>
        <w:rPr>
          <w:rFonts w:ascii="Arial" w:cs="Arial" w:eastAsia="Arial" w:hAnsi="Arial"/>
          <w:i/>
          <w:iCs/>
          <w:color w:val="546E7A"/>
          <w:sz w:val="24"/>
          <w:szCs w:val="24"/>
        </w:rPr>
        <w:t xml:space="preserve">6 Trụ cột định hình giá trị thực sự của một mô hình kinh doanh</w:t>
      </w:r>
    </w:p>
    <w:p>
      <w:pPr>
        <w:spacing w:after="80"/>
        <w:jc w:val="center"/>
      </w:pPr>
      <w:r>
        <w:rPr>
          <w:rFonts w:ascii="Arial" w:cs="Arial" w:eastAsia="Arial" w:hAnsi="Arial"/>
          <w:i/>
          <w:iCs/>
          <w:color w:val="546E7A"/>
          <w:sz w:val="24"/>
          <w:szCs w:val="24"/>
        </w:rPr>
        <w:t xml:space="preserve">Và bài học từ việc dũng cảm dừng lại.</w:t>
      </w:r>
    </w:p>
    <w:p>
      <w:pPr>
        <w:spacing w:after="800"/>
      </w:pPr>
    </w:p>
    <w:p>
      <w:pPr>
        <w:spacing w:after="60"/>
        <w:jc w:val="center"/>
      </w:pPr>
      <w:r>
        <w:rPr>
          <w:rFonts w:ascii="Arial" w:cs="Arial" w:eastAsia="Arial" w:hAnsi="Arial"/>
          <w:color w:val="546E7A"/>
          <w:sz w:val="20"/>
          <w:szCs w:val="20"/>
        </w:rPr>
        <w:t xml:space="preserve">Newsletter: Ai dạy bạn làm CEO?</w:t>
      </w:r>
    </w:p>
    <w:p>
      <w:pPr>
        <w:jc w:val="center"/>
      </w:pPr>
      <w:r>
        <w:rPr>
          <w:rFonts w:ascii="Arial" w:cs="Arial" w:eastAsia="Arial" w:hAnsi="Arial"/>
          <w:color w:val="546E7A"/>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D47A1"/>
          <w:sz w:val="32"/>
          <w:szCs w:val="32"/>
        </w:rPr>
        <w:t xml:space="preserve">Mở Đầu: Quyết Định Khó Khăn Nhất</w:t>
      </w:r>
    </w:p>
    <w:p>
      <w:pPr>
        <w:spacing w:after="140" w:line="340"/>
      </w:pPr>
      <w:r>
        <w:rPr>
          <w:rFonts w:ascii="Arial" w:cs="Arial" w:eastAsia="Arial" w:hAnsi="Arial"/>
          <w:color w:val="263238"/>
          <w:sz w:val="22"/>
          <w:szCs w:val="22"/>
        </w:rPr>
        <w:t xml:space="preserve">Trong quản trị điều hành, có một quyết định luôn khiến các CEO và Founder phải trăn trở, thậm chí là “đau đớn” tột cùng: Quyết định tạm ngưng một dự án chưa đạt hiệu quả.</w:t>
      </w:r>
    </w:p>
    <w:p>
      <w:pPr>
        <w:spacing w:after="140" w:line="340"/>
      </w:pPr>
      <w:r>
        <w:rPr>
          <w:rFonts w:ascii="Arial" w:cs="Arial" w:eastAsia="Arial" w:hAnsi="Arial"/>
          <w:color w:val="263238"/>
          <w:sz w:val="22"/>
          <w:szCs w:val="22"/>
        </w:rPr>
        <w:t xml:space="preserve">Việc cố gắng duy trì, cố “gồng” bơm thêm tiền và sức lực đôi khi lại dễ dàng hơn là dũng cảm nói lời kết thúc.</w:t>
      </w:r>
    </w:p>
    <w:p>
      <w:pPr>
        <w:pBdr>
          <w:left w:val="single" w:color="0D47A1" w:sz="14" w:space="10"/>
        </w:pBdr>
        <w:shd w:fill="E3F2FD" w:val="clear"/>
        <w:spacing w:after="200" w:before="160"/>
        <w:ind w:left="360" w:right="360"/>
      </w:pPr>
      <w:r>
        <w:rPr>
          <w:rFonts w:ascii="Arial" w:cs="Arial" w:eastAsia="Arial" w:hAnsi="Arial"/>
          <w:b/>
          <w:bCs/>
          <w:i/>
          <w:iCs/>
          <w:color w:val="0D47A1"/>
          <w:sz w:val="24"/>
          <w:szCs w:val="24"/>
        </w:rPr>
        <w:t xml:space="preserve">Sự dừng lại này không phải là bỏ cuộc. Nó là một “Khế ước rút lui chiến lược” (Strategic Retreat) vô cùng cần thiết.</w:t>
      </w:r>
    </w:p>
    <w:p>
      <w:pPr>
        <w:spacing w:after="140" w:line="340"/>
      </w:pPr>
      <w:r>
        <w:rPr>
          <w:rFonts w:ascii="Arial" w:cs="Arial" w:eastAsia="Arial" w:hAnsi="Arial"/>
          <w:color w:val="263238"/>
          <w:sz w:val="22"/>
          <w:szCs w:val="22"/>
        </w:rPr>
        <w:t xml:space="preserve">Nó giúp người lãnh đạo thoát khỏi cái bẫy nguy hiểm nhất: Phản xạ vận hành (Reflexive Action) – trạng thái chúng ta bị cuốn trôi đi bởi những sự vụ phát sinh hàng ngày mà thiếu đi sự Suy ngẫm (Reflection) để đánh giá xem bản chất cái gốc của business có đang đúng hay không.</w:t>
      </w:r>
    </w:p>
    <w:p>
      <w:pPr>
        <w:pStyle w:val="Heading1"/>
        <w:spacing w:after="200" w:before="360"/>
      </w:pPr>
      <w:r>
        <w:rPr>
          <w:rFonts w:ascii="Arial" w:cs="Arial" w:eastAsia="Arial" w:hAnsi="Arial"/>
          <w:b/>
          <w:bCs/>
          <w:color w:val="0D47A1"/>
          <w:sz w:val="32"/>
          <w:szCs w:val="32"/>
        </w:rPr>
        <w:t xml:space="preserve">I. 6 Trụ Cột Định Hình Giá Trị Thực Sự Của Một Mô Hình Kinh Doanh</w:t>
      </w:r>
    </w:p>
    <w:p>
      <w:pPr>
        <w:spacing w:after="140" w:line="340"/>
      </w:pPr>
      <w:r>
        <w:rPr>
          <w:rFonts w:ascii="Arial" w:cs="Arial" w:eastAsia="Arial" w:hAnsi="Arial"/>
          <w:color w:val="263238"/>
          <w:sz w:val="22"/>
          <w:szCs w:val="22"/>
        </w:rPr>
        <w:t xml:space="preserve">Sự thành bại của một dự án không chỉ nằm ở việc đạt được mục tiêu tài chính ngắn hạn. Quan trọng hơn, nó phải hình thành được các Năng lực cốt lõi (Core Competencies). Một doanh nghiệp chỉ thực sự “có giá trị” và đi được đường dài khi nó hội đủ 6 trụ cột nền tảng sau:</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D47A1" w:sz="1"/>
              <w:left w:val="single" w:color="0D47A1" w:sz="6"/>
              <w:bottom w:val="single" w:color="0D47A1" w:sz="1"/>
              <w:right w:val="none" w:color="FFFFFF" w:sz="0"/>
            </w:tcBorders>
            <w:shd w:fill="0D47A1"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1</w:t>
            </w:r>
          </w:p>
        </w:tc>
        <w:tc>
          <w:tcPr>
            <w:tcW w:type="dxa" w:w="8560"/>
            <w:tcBorders>
              <w:top w:val="single" w:color="0D47A1" w:sz="1"/>
              <w:left w:val="none" w:color="FFFFFF" w:sz="0"/>
              <w:bottom w:val="single" w:color="0D47A1" w:sz="1"/>
              <w:right w:val="single" w:color="0D47A1" w:sz="1"/>
            </w:tcBorders>
            <w:tcMar>
              <w:top w:type="dxa" w:w="120"/>
              <w:left w:type="dxa" w:w="200"/>
              <w:bottom w:type="dxa" w:w="120"/>
              <w:right w:type="dxa" w:w="140"/>
            </w:tcMar>
          </w:tcPr>
          <w:p>
            <w:pPr>
              <w:spacing w:after="40"/>
            </w:pPr>
            <w:r>
              <w:rPr>
                <w:rFonts w:ascii="Arial" w:cs="Arial" w:eastAsia="Arial" w:hAnsi="Arial"/>
                <w:b/>
                <w:bCs/>
                <w:color w:val="0D47A1"/>
                <w:sz w:val="22"/>
                <w:szCs w:val="22"/>
              </w:rPr>
              <w:t xml:space="preserve">Sự tương thích Sản phẩm - Thị trường</w:t>
            </w:r>
          </w:p>
          <w:p>
            <w:pPr>
              <w:spacing w:after="60"/>
            </w:pPr>
            <w:r>
              <w:rPr>
                <w:rFonts w:ascii="Arial" w:cs="Arial" w:eastAsia="Arial" w:hAnsi="Arial"/>
                <w:i/>
                <w:iCs/>
                <w:color w:val="546E7A"/>
                <w:sz w:val="18"/>
                <w:szCs w:val="18"/>
              </w:rPr>
              <w:t xml:space="preserve">(Product-Market Fit)</w:t>
            </w:r>
          </w:p>
          <w:p>
            <w:r>
              <w:rPr>
                <w:rFonts w:ascii="Arial" w:cs="Arial" w:eastAsia="Arial" w:hAnsi="Arial"/>
                <w:color w:val="263238"/>
                <w:sz w:val="20"/>
                <w:szCs w:val="20"/>
              </w:rPr>
              <w:t xml:space="preserve">Giá trị không nằm ở một ý tưởng nghe có vẻ hay. Nó nằm ở quá trình “vật lộn” để tìm ra USP giải quyết đúng “nỗi đau” của khách hàng một cách khác biệt so với đối thủ.</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565C0" w:sz="1"/>
              <w:left w:val="single" w:color="1565C0" w:sz="6"/>
              <w:bottom w:val="single" w:color="1565C0" w:sz="1"/>
              <w:right w:val="none" w:color="FFFFFF" w:sz="0"/>
            </w:tcBorders>
            <w:shd w:fill="1565C0"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2</w:t>
            </w:r>
          </w:p>
        </w:tc>
        <w:tc>
          <w:tcPr>
            <w:tcW w:type="dxa" w:w="8560"/>
            <w:tcBorders>
              <w:top w:val="single" w:color="1565C0" w:sz="1"/>
              <w:left w:val="none" w:color="FFFFFF" w:sz="0"/>
              <w:bottom w:val="single" w:color="1565C0" w:sz="1"/>
              <w:right w:val="single" w:color="1565C0" w:sz="1"/>
            </w:tcBorders>
            <w:tcMar>
              <w:top w:type="dxa" w:w="120"/>
              <w:left w:type="dxa" w:w="200"/>
              <w:bottom w:type="dxa" w:w="120"/>
              <w:right w:type="dxa" w:w="140"/>
            </w:tcMar>
          </w:tcPr>
          <w:p>
            <w:pPr>
              <w:spacing w:after="40"/>
            </w:pPr>
            <w:r>
              <w:rPr>
                <w:rFonts w:ascii="Arial" w:cs="Arial" w:eastAsia="Arial" w:hAnsi="Arial"/>
                <w:b/>
                <w:bCs/>
                <w:color w:val="1565C0"/>
                <w:sz w:val="22"/>
                <w:szCs w:val="22"/>
              </w:rPr>
              <w:t xml:space="preserve">Hệ năng lực Vận hành &amp; Bí quyết ngành</w:t>
            </w:r>
          </w:p>
          <w:p>
            <w:pPr>
              <w:spacing w:after="60"/>
            </w:pPr>
            <w:r>
              <w:rPr>
                <w:rFonts w:ascii="Arial" w:cs="Arial" w:eastAsia="Arial" w:hAnsi="Arial"/>
                <w:i/>
                <w:iCs/>
                <w:color w:val="546E7A"/>
                <w:sz w:val="18"/>
                <w:szCs w:val="18"/>
              </w:rPr>
              <w:t xml:space="preserve">(Operational Excellence)</w:t>
            </w:r>
          </w:p>
          <w:p>
            <w:r>
              <w:rPr>
                <w:rFonts w:ascii="Arial" w:cs="Arial" w:eastAsia="Arial" w:hAnsi="Arial"/>
                <w:color w:val="263238"/>
                <w:sz w:val="20"/>
                <w:szCs w:val="20"/>
              </w:rPr>
              <w:t xml:space="preserve">Hình thành được các SOPs mang tính đặc thù. Nó là bí quyết (Know-how) giúp giải quyết các bài toán hóc búa, tạo thành một “hào kỹ thuật” ngăn cản đối thủ sao chép.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976D2" w:sz="1"/>
              <w:left w:val="single" w:color="1976D2" w:sz="6"/>
              <w:bottom w:val="single" w:color="1976D2" w:sz="1"/>
              <w:right w:val="none" w:color="FFFFFF" w:sz="0"/>
            </w:tcBorders>
            <w:shd w:fill="1976D2"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3</w:t>
            </w:r>
          </w:p>
        </w:tc>
        <w:tc>
          <w:tcPr>
            <w:tcW w:type="dxa" w:w="8560"/>
            <w:tcBorders>
              <w:top w:val="single" w:color="1976D2" w:sz="1"/>
              <w:left w:val="none" w:color="FFFFFF" w:sz="0"/>
              <w:bottom w:val="single" w:color="1976D2" w:sz="1"/>
              <w:right w:val="single" w:color="1976D2" w:sz="1"/>
            </w:tcBorders>
            <w:tcMar>
              <w:top w:type="dxa" w:w="120"/>
              <w:left w:type="dxa" w:w="200"/>
              <w:bottom w:type="dxa" w:w="120"/>
              <w:right w:type="dxa" w:w="140"/>
            </w:tcMar>
          </w:tcPr>
          <w:p>
            <w:pPr>
              <w:spacing w:after="40"/>
            </w:pPr>
            <w:r>
              <w:rPr>
                <w:rFonts w:ascii="Arial" w:cs="Arial" w:eastAsia="Arial" w:hAnsi="Arial"/>
                <w:b/>
                <w:bCs/>
                <w:color w:val="1976D2"/>
                <w:sz w:val="22"/>
                <w:szCs w:val="22"/>
              </w:rPr>
              <w:t xml:space="preserve">Tri thức ẩn &amp; Tài sản trí tuệ</w:t>
            </w:r>
          </w:p>
          <w:p>
            <w:pPr>
              <w:spacing w:after="60"/>
            </w:pPr>
            <w:r>
              <w:rPr>
                <w:rFonts w:ascii="Arial" w:cs="Arial" w:eastAsia="Arial" w:hAnsi="Arial"/>
                <w:i/>
                <w:iCs/>
                <w:color w:val="546E7A"/>
                <w:sz w:val="18"/>
                <w:szCs w:val="18"/>
              </w:rPr>
              <w:t xml:space="preserve">(Tacit Knowledge)</w:t>
            </w:r>
          </w:p>
          <w:p>
            <w:r>
              <w:rPr>
                <w:rFonts w:ascii="Arial" w:cs="Arial" w:eastAsia="Arial" w:hAnsi="Arial"/>
                <w:color w:val="263238"/>
                <w:sz w:val="20"/>
                <w:szCs w:val="20"/>
              </w:rPr>
              <w:t xml:space="preserve">Đội ngũ phải là những người tích lũy được “vết sẹo” chiến trường, kinh nghiệm xử lý khủng hoảng. Đây là tài sản vô hình không thể dễ dàng chuyển giao hay mua bằng tiền.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E88E5" w:sz="1"/>
              <w:left w:val="single" w:color="1E88E5" w:sz="6"/>
              <w:bottom w:val="single" w:color="1E88E5" w:sz="1"/>
              <w:right w:val="none" w:color="FFFFFF" w:sz="0"/>
            </w:tcBorders>
            <w:shd w:fill="1E88E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4</w:t>
            </w:r>
          </w:p>
        </w:tc>
        <w:tc>
          <w:tcPr>
            <w:tcW w:type="dxa" w:w="8560"/>
            <w:tcBorders>
              <w:top w:val="single" w:color="1E88E5" w:sz="1"/>
              <w:left w:val="none" w:color="FFFFFF" w:sz="0"/>
              <w:bottom w:val="single" w:color="1E88E5" w:sz="1"/>
              <w:right w:val="single" w:color="1E88E5" w:sz="1"/>
            </w:tcBorders>
            <w:tcMar>
              <w:top w:type="dxa" w:w="120"/>
              <w:left w:type="dxa" w:w="200"/>
              <w:bottom w:type="dxa" w:w="120"/>
              <w:right w:type="dxa" w:w="140"/>
            </w:tcMar>
          </w:tcPr>
          <w:p>
            <w:pPr>
              <w:spacing w:after="40"/>
            </w:pPr>
            <w:r>
              <w:rPr>
                <w:rFonts w:ascii="Arial" w:cs="Arial" w:eastAsia="Arial" w:hAnsi="Arial"/>
                <w:b/>
                <w:bCs/>
                <w:color w:val="1E88E5"/>
                <w:sz w:val="22"/>
                <w:szCs w:val="22"/>
              </w:rPr>
              <w:t xml:space="preserve">Đòn bẩy Công nghệ</w:t>
            </w:r>
          </w:p>
          <w:p>
            <w:pPr>
              <w:spacing w:after="60"/>
            </w:pPr>
            <w:r>
              <w:rPr>
                <w:rFonts w:ascii="Arial" w:cs="Arial" w:eastAsia="Arial" w:hAnsi="Arial"/>
                <w:i/>
                <w:iCs/>
                <w:color w:val="546E7A"/>
                <w:sz w:val="18"/>
                <w:szCs w:val="18"/>
              </w:rPr>
              <w:t xml:space="preserve">(Technological Leverage)</w:t>
            </w:r>
          </w:p>
          <w:p>
            <w:r>
              <w:rPr>
                <w:rFonts w:ascii="Arial" w:cs="Arial" w:eastAsia="Arial" w:hAnsi="Arial"/>
                <w:color w:val="263238"/>
                <w:sz w:val="20"/>
                <w:szCs w:val="20"/>
              </w:rPr>
              <w:t xml:space="preserve">Công nghệ không chỉ là công cụ, mà phải làm chủ nó thành hệ thống nền tảng để tối ưu nguồn lực và dữ liệu.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196F3" w:sz="1"/>
              <w:left w:val="single" w:color="2196F3" w:sz="6"/>
              <w:bottom w:val="single" w:color="2196F3" w:sz="1"/>
              <w:right w:val="none" w:color="FFFFFF" w:sz="0"/>
            </w:tcBorders>
            <w:shd w:fill="2196F3"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5</w:t>
            </w:r>
          </w:p>
        </w:tc>
        <w:tc>
          <w:tcPr>
            <w:tcW w:type="dxa" w:w="8560"/>
            <w:tcBorders>
              <w:top w:val="single" w:color="2196F3" w:sz="1"/>
              <w:left w:val="none" w:color="FFFFFF" w:sz="0"/>
              <w:bottom w:val="single" w:color="2196F3" w:sz="1"/>
              <w:right w:val="single" w:color="2196F3" w:sz="1"/>
            </w:tcBorders>
            <w:tcMar>
              <w:top w:type="dxa" w:w="120"/>
              <w:left w:type="dxa" w:w="200"/>
              <w:bottom w:type="dxa" w:w="120"/>
              <w:right w:type="dxa" w:w="140"/>
            </w:tcMar>
          </w:tcPr>
          <w:p>
            <w:pPr>
              <w:spacing w:after="40"/>
            </w:pPr>
            <w:r>
              <w:rPr>
                <w:rFonts w:ascii="Arial" w:cs="Arial" w:eastAsia="Arial" w:hAnsi="Arial"/>
                <w:b/>
                <w:bCs/>
                <w:color w:val="2196F3"/>
                <w:sz w:val="22"/>
                <w:szCs w:val="22"/>
              </w:rPr>
              <w:t xml:space="preserve">Kinh tế học đơn vị</w:t>
            </w:r>
          </w:p>
          <w:p>
            <w:pPr>
              <w:spacing w:after="60"/>
            </w:pPr>
            <w:r>
              <w:rPr>
                <w:rFonts w:ascii="Arial" w:cs="Arial" w:eastAsia="Arial" w:hAnsi="Arial"/>
                <w:i/>
                <w:iCs/>
                <w:color w:val="546E7A"/>
                <w:sz w:val="18"/>
                <w:szCs w:val="18"/>
              </w:rPr>
              <w:t xml:space="preserve">(Unit Economics)</w:t>
            </w:r>
          </w:p>
          <w:p>
            <w:r>
              <w:rPr>
                <w:rFonts w:ascii="Arial" w:cs="Arial" w:eastAsia="Arial" w:hAnsi="Arial"/>
                <w:color w:val="263238"/>
                <w:sz w:val="20"/>
                <w:szCs w:val="20"/>
              </w:rPr>
              <w:t xml:space="preserve">Hiểu rõ mối quan hệ giữa LTV (Giá trị trọn đời của khách) và CAC (Chi phí thu hút khách). Mô hình chưa chuẩn thì càng scale sẽ càng lỗ.</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2A5F5" w:sz="1"/>
              <w:left w:val="single" w:color="42A5F5" w:sz="6"/>
              <w:bottom w:val="single" w:color="42A5F5" w:sz="1"/>
              <w:right w:val="none" w:color="FFFFFF" w:sz="0"/>
            </w:tcBorders>
            <w:shd w:fill="42A5F5" w:val="clear"/>
            <w:tcMar>
              <w:top w:type="dxa" w:w="140"/>
              <w:left w:type="dxa" w:w="80"/>
              <w:bottom w:type="dxa" w:w="140"/>
              <w:right w:type="dxa" w:w="80"/>
            </w:tcMar>
            <w:vAlign w:val="center"/>
          </w:tcPr>
          <w:p>
            <w:pPr>
              <w:jc w:val="center"/>
            </w:pPr>
            <w:r>
              <w:rPr>
                <w:rFonts w:ascii="Arial" w:cs="Arial" w:eastAsia="Arial" w:hAnsi="Arial"/>
                <w:b/>
                <w:bCs/>
                <w:color w:val="FFFFFF"/>
                <w:sz w:val="36"/>
                <w:szCs w:val="36"/>
              </w:rPr>
              <w:t xml:space="preserve">6</w:t>
            </w:r>
          </w:p>
        </w:tc>
        <w:tc>
          <w:tcPr>
            <w:tcW w:type="dxa" w:w="8560"/>
            <w:tcBorders>
              <w:top w:val="single" w:color="42A5F5" w:sz="1"/>
              <w:left w:val="none" w:color="FFFFFF" w:sz="0"/>
              <w:bottom w:val="single" w:color="42A5F5" w:sz="1"/>
              <w:right w:val="single" w:color="42A5F5" w:sz="1"/>
            </w:tcBorders>
            <w:tcMar>
              <w:top w:type="dxa" w:w="120"/>
              <w:left w:type="dxa" w:w="200"/>
              <w:bottom w:type="dxa" w:w="120"/>
              <w:right w:type="dxa" w:w="140"/>
            </w:tcMar>
          </w:tcPr>
          <w:p>
            <w:pPr>
              <w:spacing w:after="40"/>
            </w:pPr>
            <w:r>
              <w:rPr>
                <w:rFonts w:ascii="Arial" w:cs="Arial" w:eastAsia="Arial" w:hAnsi="Arial"/>
                <w:b/>
                <w:bCs/>
                <w:color w:val="42A5F5"/>
                <w:sz w:val="22"/>
                <w:szCs w:val="22"/>
              </w:rPr>
              <w:t xml:space="preserve">Khả năng Mở rộng &amp; Xoay trục</w:t>
            </w:r>
          </w:p>
          <w:p>
            <w:pPr>
              <w:spacing w:after="60"/>
            </w:pPr>
            <w:r>
              <w:rPr>
                <w:rFonts w:ascii="Arial" w:cs="Arial" w:eastAsia="Arial" w:hAnsi="Arial"/>
                <w:i/>
                <w:iCs/>
                <w:color w:val="546E7A"/>
                <w:sz w:val="18"/>
                <w:szCs w:val="18"/>
              </w:rPr>
              <w:t xml:space="preserve">(Scalability &amp; Agility)</w:t>
            </w:r>
          </w:p>
          <w:p>
            <w:r>
              <w:rPr>
                <w:rFonts w:ascii="Arial" w:cs="Arial" w:eastAsia="Arial" w:hAnsi="Arial"/>
                <w:color w:val="263238"/>
                <w:sz w:val="20"/>
                <w:szCs w:val="20"/>
              </w:rPr>
              <w:t xml:space="preserve">Mô hình có thể nhân rộng quy mô mà không gãy vỡ hệ thống. Đồng thời, có đủ sự linh hoạt để Pivot khi thị trường thay đổi.</w:t>
            </w:r>
          </w:p>
        </w:tc>
      </w:tr>
    </w:tbl>
    <w:p>
      <w:pPr>
        <w:spacing w:after="120"/>
      </w:pPr>
    </w:p>
    <w:p>
      <w:pPr>
        <w:pBdr>
          <w:left w:val="single" w:color="1565C0" w:sz="14" w:space="10"/>
        </w:pBdr>
        <w:shd w:fill="E3F2FD" w:val="clear"/>
        <w:spacing w:after="200" w:before="160"/>
        <w:ind w:left="360" w:right="360"/>
      </w:pPr>
      <w:r>
        <w:rPr>
          <w:rFonts w:ascii="Arial" w:cs="Arial" w:eastAsia="Arial" w:hAnsi="Arial"/>
          <w:b/>
          <w:bCs/>
          <w:i/>
          <w:iCs/>
          <w:color w:val="1565C0"/>
          <w:sz w:val="24"/>
          <w:szCs w:val="24"/>
        </w:rPr>
        <w:t xml:space="preserve">Một dự án có thể tạm ngưng vì hết dòng tiền. Nhưng nếu quá trình thực chiến đã giúp đội ngũ kết tinh được một vài cột trụ — đó tuyệt đối không phải là một thất bại. Đó là nền tảng cho chiến thắng tiếp theo.</w:t>
      </w:r>
    </w:p>
    <w:p>
      <w:r>
        <w:br w:type="page"/>
      </w:r>
    </w:p>
    <w:p>
      <w:pPr>
        <w:pStyle w:val="Heading1"/>
        <w:spacing w:after="200" w:before="360"/>
      </w:pPr>
      <w:r>
        <w:rPr>
          <w:rFonts w:ascii="Arial" w:cs="Arial" w:eastAsia="Arial" w:hAnsi="Arial"/>
          <w:b/>
          <w:bCs/>
          <w:color w:val="0D47A1"/>
          <w:sz w:val="32"/>
          <w:szCs w:val="32"/>
        </w:rPr>
        <w:t xml:space="preserve">II. Sự Thật Phũ Phàng Và Bài Học Tự Soi Chiếu</w:t>
      </w:r>
    </w:p>
    <w:p>
      <w:pPr>
        <w:spacing w:after="140" w:line="340"/>
      </w:pPr>
      <w:r>
        <w:rPr>
          <w:rFonts w:ascii="Arial" w:cs="Arial" w:eastAsia="Arial" w:hAnsi="Arial"/>
          <w:color w:val="263238"/>
          <w:sz w:val="22"/>
          <w:szCs w:val="22"/>
        </w:rPr>
        <w:t xml:space="preserve">Lý thuyết là vậy. Và khi dự án dừng lại, tôi đã ngồi xuống, mang đúng 6 trụ cột này ra để “chẩn bệnh” và đánh giá lại những gì mình và đội ngũ đã làm được.</w:t>
      </w:r>
    </w:p>
    <w:p>
      <w:pPr>
        <w:pBdr>
          <w:left w:val="single" w:color="BF360C" w:sz="14" w:space="10"/>
        </w:pBdr>
        <w:shd w:fill="FBE9E7" w:val="clear"/>
        <w:spacing w:after="200" w:before="160"/>
        <w:ind w:left="360" w:right="360"/>
      </w:pPr>
      <w:r>
        <w:rPr>
          <w:rFonts w:ascii="Arial" w:cs="Arial" w:eastAsia="Arial" w:hAnsi="Arial"/>
          <w:b/>
          <w:bCs/>
          <w:i/>
          <w:iCs/>
          <w:color w:val="BF360C"/>
          <w:sz w:val="24"/>
          <w:szCs w:val="24"/>
        </w:rPr>
        <w:t xml:space="preserve">Và sự thật thì luôn phũ phàng... Dự án KHÔNG ĐẠT ĐƯỢC BẤT KỲ TRỤ CỘT NÀO.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B0BEC5" w:sz="1"/>
              <w:left w:val="single" w:color="B0BEC5" w:sz="1"/>
              <w:bottom w:val="single" w:color="B0BEC5" w:sz="1"/>
              <w:right w:val="single" w:color="B0BEC5" w:sz="1"/>
            </w:tcBorders>
            <w:shd w:fill="0D47A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5160"/>
            <w:tcBorders>
              <w:top w:val="single" w:color="B0BEC5" w:sz="1"/>
              <w:left w:val="single" w:color="B0BEC5" w:sz="1"/>
              <w:bottom w:val="single" w:color="B0BEC5" w:sz="1"/>
              <w:right w:val="single" w:color="B0BEC5" w:sz="1"/>
            </w:tcBorders>
            <w:shd w:fill="0D47A1" w:val="clear"/>
            <w:tcMar>
              <w:top w:type="dxa" w:w="100"/>
              <w:left w:type="dxa" w:w="140"/>
              <w:bottom w:type="dxa" w:w="100"/>
              <w:right w:type="dxa" w:w="140"/>
            </w:tcMar>
          </w:tcPr>
          <w:p>
            <w:r>
              <w:rPr>
                <w:rFonts w:ascii="Arial" w:cs="Arial" w:eastAsia="Arial" w:hAnsi="Arial"/>
                <w:b/>
                <w:bCs/>
                <w:color w:val="FFFFFF"/>
                <w:sz w:val="18"/>
                <w:szCs w:val="18"/>
              </w:rPr>
              <w:t xml:space="preserve">Trụ cột</w:t>
            </w:r>
          </w:p>
        </w:tc>
        <w:tc>
          <w:tcPr>
            <w:tcW w:type="dxa" w:w="3600"/>
            <w:tcBorders>
              <w:top w:val="single" w:color="B0BEC5" w:sz="1"/>
              <w:left w:val="single" w:color="B0BEC5" w:sz="1"/>
              <w:bottom w:val="single" w:color="B0BEC5" w:sz="1"/>
              <w:right w:val="single" w:color="B0BEC5" w:sz="1"/>
            </w:tcBorders>
            <w:shd w:fill="0D47A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Kết quả tự đánh giá</w:t>
            </w:r>
          </w:p>
        </w:tc>
      </w:tr>
      <w:tr>
        <w:tc>
          <w:tcPr>
            <w:tcW w:type="dxa" w:w="60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1</w:t>
            </w:r>
          </w:p>
        </w:tc>
        <w:tc>
          <w:tcPr>
            <w:tcW w:type="dxa" w:w="516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color w:val="263238"/>
                <w:sz w:val="20"/>
                <w:szCs w:val="20"/>
              </w:rPr>
              <w:t xml:space="preserve">Sản phẩm không có gì khác biệt</w:t>
            </w:r>
          </w:p>
        </w:tc>
        <w:tc>
          <w:tcPr>
            <w:tcW w:type="dxa" w:w="3600"/>
            <w:tcBorders>
              <w:top w:val="single" w:color="B0BEC5" w:sz="1"/>
              <w:left w:val="single" w:color="B0BEC5" w:sz="1"/>
              <w:bottom w:val="single" w:color="B0BEC5" w:sz="1"/>
              <w:right w:val="single" w:color="B0BEC5" w:sz="1"/>
            </w:tcBorders>
            <w:shd w:fill="FBE9E7" w:val="clear"/>
            <w:tcMar>
              <w:top w:type="dxa" w:w="100"/>
              <w:left w:type="dxa" w:w="140"/>
              <w:bottom w:type="dxa" w:w="100"/>
              <w:right w:type="dxa" w:w="140"/>
            </w:tcMar>
          </w:tcPr>
          <w:p>
            <w:r>
              <w:rPr>
                <w:rFonts w:ascii="Arial" w:cs="Arial" w:eastAsia="Arial" w:hAnsi="Arial"/>
                <w:b/>
                <w:bCs/>
                <w:color w:val="BF360C"/>
                <w:sz w:val="20"/>
                <w:szCs w:val="20"/>
              </w:rPr>
              <w:t xml:space="preserve">KHÔNG ĐẠT</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2</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263238"/>
                <w:sz w:val="20"/>
                <w:szCs w:val="20"/>
              </w:rPr>
              <w:t xml:space="preserve">Chưa hình thành quy trình vận hành tối ưu, chỉ mức cơ bản</w:t>
            </w:r>
          </w:p>
        </w:tc>
        <w:tc>
          <w:tcPr>
            <w:tcW w:type="dxa" w:w="3600"/>
            <w:tcBorders>
              <w:top w:val="single" w:color="B0BEC5" w:sz="1"/>
              <w:left w:val="single" w:color="B0BEC5" w:sz="1"/>
              <w:bottom w:val="single" w:color="B0BEC5" w:sz="1"/>
              <w:right w:val="single" w:color="B0BEC5" w:sz="1"/>
            </w:tcBorders>
            <w:shd w:fill="FBE9E7" w:val="clear"/>
            <w:tcMar>
              <w:top w:type="dxa" w:w="100"/>
              <w:left w:type="dxa" w:w="140"/>
              <w:bottom w:type="dxa" w:w="100"/>
              <w:right w:type="dxa" w:w="140"/>
            </w:tcMar>
          </w:tcPr>
          <w:p>
            <w:r>
              <w:rPr>
                <w:rFonts w:ascii="Arial" w:cs="Arial" w:eastAsia="Arial" w:hAnsi="Arial"/>
                <w:b/>
                <w:bCs/>
                <w:color w:val="BF360C"/>
                <w:sz w:val="20"/>
                <w:szCs w:val="20"/>
              </w:rPr>
              <w:t xml:space="preserve">KHÔNG ĐẠT</w:t>
            </w:r>
          </w:p>
        </w:tc>
      </w:tr>
      <w:tr>
        <w:tc>
          <w:tcPr>
            <w:tcW w:type="dxa" w:w="60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3</w:t>
            </w:r>
          </w:p>
        </w:tc>
        <w:tc>
          <w:tcPr>
            <w:tcW w:type="dxa" w:w="516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color w:val="263238"/>
                <w:sz w:val="20"/>
                <w:szCs w:val="20"/>
              </w:rPr>
              <w:t xml:space="preserve">Đội ngũ "lấp lừng" — nửa nhân viên, nửa founding team</w:t>
            </w:r>
          </w:p>
        </w:tc>
        <w:tc>
          <w:tcPr>
            <w:tcW w:type="dxa" w:w="3600"/>
            <w:tcBorders>
              <w:top w:val="single" w:color="B0BEC5" w:sz="1"/>
              <w:left w:val="single" w:color="B0BEC5" w:sz="1"/>
              <w:bottom w:val="single" w:color="B0BEC5" w:sz="1"/>
              <w:right w:val="single" w:color="B0BEC5" w:sz="1"/>
            </w:tcBorders>
            <w:shd w:fill="FBE9E7" w:val="clear"/>
            <w:tcMar>
              <w:top w:type="dxa" w:w="100"/>
              <w:left w:type="dxa" w:w="140"/>
              <w:bottom w:type="dxa" w:w="100"/>
              <w:right w:type="dxa" w:w="140"/>
            </w:tcMar>
          </w:tcPr>
          <w:p>
            <w:r>
              <w:rPr>
                <w:rFonts w:ascii="Arial" w:cs="Arial" w:eastAsia="Arial" w:hAnsi="Arial"/>
                <w:b/>
                <w:bCs/>
                <w:color w:val="BF360C"/>
                <w:sz w:val="20"/>
                <w:szCs w:val="20"/>
              </w:rPr>
              <w:t xml:space="preserve">KHÔNG ĐẠT</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4</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263238"/>
                <w:sz w:val="20"/>
                <w:szCs w:val="20"/>
              </w:rPr>
              <w:t xml:space="preserve">Không có hệ thống công nghệ</w:t>
            </w:r>
          </w:p>
        </w:tc>
        <w:tc>
          <w:tcPr>
            <w:tcW w:type="dxa" w:w="3600"/>
            <w:tcBorders>
              <w:top w:val="single" w:color="B0BEC5" w:sz="1"/>
              <w:left w:val="single" w:color="B0BEC5" w:sz="1"/>
              <w:bottom w:val="single" w:color="B0BEC5" w:sz="1"/>
              <w:right w:val="single" w:color="B0BEC5" w:sz="1"/>
            </w:tcBorders>
            <w:shd w:fill="FBE9E7" w:val="clear"/>
            <w:tcMar>
              <w:top w:type="dxa" w:w="100"/>
              <w:left w:type="dxa" w:w="140"/>
              <w:bottom w:type="dxa" w:w="100"/>
              <w:right w:type="dxa" w:w="140"/>
            </w:tcMar>
          </w:tcPr>
          <w:p>
            <w:r>
              <w:rPr>
                <w:rFonts w:ascii="Arial" w:cs="Arial" w:eastAsia="Arial" w:hAnsi="Arial"/>
                <w:b/>
                <w:bCs/>
                <w:color w:val="BF360C"/>
                <w:sz w:val="20"/>
                <w:szCs w:val="20"/>
              </w:rPr>
              <w:t xml:space="preserve">KHÔNG ĐẠT</w:t>
            </w:r>
          </w:p>
        </w:tc>
      </w:tr>
      <w:tr>
        <w:tc>
          <w:tcPr>
            <w:tcW w:type="dxa" w:w="60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5</w:t>
            </w:r>
          </w:p>
        </w:tc>
        <w:tc>
          <w:tcPr>
            <w:tcW w:type="dxa" w:w="516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color w:val="263238"/>
                <w:sz w:val="20"/>
                <w:szCs w:val="20"/>
              </w:rPr>
              <w:t xml:space="preserve">Cứ bỏ 2 đồng để bán 1 đồng</w:t>
            </w:r>
          </w:p>
        </w:tc>
        <w:tc>
          <w:tcPr>
            <w:tcW w:type="dxa" w:w="3600"/>
            <w:tcBorders>
              <w:top w:val="single" w:color="B0BEC5" w:sz="1"/>
              <w:left w:val="single" w:color="B0BEC5" w:sz="1"/>
              <w:bottom w:val="single" w:color="B0BEC5" w:sz="1"/>
              <w:right w:val="single" w:color="B0BEC5" w:sz="1"/>
            </w:tcBorders>
            <w:shd w:fill="FBE9E7" w:val="clear"/>
            <w:tcMar>
              <w:top w:type="dxa" w:w="100"/>
              <w:left w:type="dxa" w:w="140"/>
              <w:bottom w:type="dxa" w:w="100"/>
              <w:right w:type="dxa" w:w="140"/>
            </w:tcMar>
          </w:tcPr>
          <w:p>
            <w:r>
              <w:rPr>
                <w:rFonts w:ascii="Arial" w:cs="Arial" w:eastAsia="Arial" w:hAnsi="Arial"/>
                <w:b/>
                <w:bCs/>
                <w:color w:val="BF360C"/>
                <w:sz w:val="20"/>
                <w:szCs w:val="20"/>
              </w:rPr>
              <w:t xml:space="preserve">KHÔNG ĐẠT</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6</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263238"/>
                <w:sz w:val="20"/>
                <w:szCs w:val="20"/>
              </w:rPr>
              <w:t xml:space="preserve">Không nhìn thấy cơ hội Scale</w:t>
            </w:r>
          </w:p>
        </w:tc>
        <w:tc>
          <w:tcPr>
            <w:tcW w:type="dxa" w:w="3600"/>
            <w:tcBorders>
              <w:top w:val="single" w:color="B0BEC5" w:sz="1"/>
              <w:left w:val="single" w:color="B0BEC5" w:sz="1"/>
              <w:bottom w:val="single" w:color="B0BEC5" w:sz="1"/>
              <w:right w:val="single" w:color="B0BEC5" w:sz="1"/>
            </w:tcBorders>
            <w:shd w:fill="FBE9E7" w:val="clear"/>
            <w:tcMar>
              <w:top w:type="dxa" w:w="100"/>
              <w:left w:type="dxa" w:w="140"/>
              <w:bottom w:type="dxa" w:w="100"/>
              <w:right w:type="dxa" w:w="140"/>
            </w:tcMar>
          </w:tcPr>
          <w:p>
            <w:r>
              <w:rPr>
                <w:rFonts w:ascii="Arial" w:cs="Arial" w:eastAsia="Arial" w:hAnsi="Arial"/>
                <w:b/>
                <w:bCs/>
                <w:color w:val="BF360C"/>
                <w:sz w:val="20"/>
                <w:szCs w:val="20"/>
              </w:rPr>
              <w:t xml:space="preserve">KHÔNG ĐẠT</w:t>
            </w:r>
          </w:p>
        </w:tc>
      </w:tr>
    </w:tbl>
    <w:p>
      <w:pPr>
        <w:spacing w:after="160"/>
      </w:pPr>
    </w:p>
    <w:p>
      <w:pPr>
        <w:spacing w:after="140" w:line="340"/>
      </w:pPr>
      <w:r>
        <w:rPr>
          <w:rFonts w:ascii="Arial" w:cs="Arial" w:eastAsia="Arial" w:hAnsi="Arial"/>
          <w:color w:val="263238"/>
          <w:sz w:val="22"/>
          <w:szCs w:val="22"/>
        </w:rPr>
        <w:t xml:space="preserve">Khi chúng ta bị cuốn theo sự vụ hàng ngày, bị áp lực ngắn hạn đè nặng, chúng ta rất dễ biến thành những cỗ máy xử lý công việc. Chúng ta chạy rất nhanh, làm việc 12-14 tiếng một ngày, nhưng lại quên mất việc xây dựng những cái gốc lõi của mô hình kinh doanh.</w:t>
      </w:r>
    </w:p>
    <w:p>
      <w:pPr>
        <w:pBdr>
          <w:left w:val="single" w:color="BF360C" w:sz="14" w:space="10"/>
        </w:pBdr>
        <w:shd w:fill="FBE9E7" w:val="clear"/>
        <w:spacing w:after="200" w:before="160"/>
        <w:ind w:left="360" w:right="360"/>
      </w:pPr>
      <w:r>
        <w:rPr>
          <w:rFonts w:ascii="Arial" w:cs="Arial" w:eastAsia="Arial" w:hAnsi="Arial"/>
          <w:b/>
          <w:bCs/>
          <w:i/>
          <w:iCs/>
          <w:color w:val="BF360C"/>
          <w:sz w:val="24"/>
          <w:szCs w:val="24"/>
        </w:rPr>
        <w:t xml:space="preserve">Sự vụ đã che mờ tầm nhìn, khiến chúng ta lầm tưởng sự bận rộn với sự tiến bộ.</w:t>
      </w:r>
    </w:p>
    <w:p>
      <w:pPr>
        <w:pStyle w:val="Heading1"/>
        <w:spacing w:after="200" w:before="360"/>
      </w:pPr>
      <w:r>
        <w:rPr>
          <w:rFonts w:ascii="Arial" w:cs="Arial" w:eastAsia="Arial" w:hAnsi="Arial"/>
          <w:b/>
          <w:bCs/>
          <w:color w:val="0D47A1"/>
          <w:sz w:val="32"/>
          <w:szCs w:val="32"/>
        </w:rPr>
        <w:t xml:space="preserve">III. Hành Động Cho Tuần Này</w:t>
      </w:r>
    </w:p>
    <w:p>
      <w:pPr>
        <w:spacing w:after="140" w:line="340"/>
      </w:pPr>
      <w:r>
        <w:rPr>
          <w:rFonts w:ascii="Arial" w:cs="Arial" w:eastAsia="Arial" w:hAnsi="Arial"/>
          <w:color w:val="263238"/>
          <w:sz w:val="22"/>
          <w:szCs w:val="22"/>
        </w:rPr>
        <w:t xml:space="preserve">Bạn có đang bận rộn đến mức mệt nhoài mỗi ngày không?</w:t>
      </w:r>
    </w:p>
    <w:p>
      <w:pPr>
        <w:spacing w:after="140" w:line="340"/>
      </w:pPr>
      <w:r>
        <w:rPr>
          <w:rFonts w:ascii="Arial" w:cs="Arial" w:eastAsia="Arial" w:hAnsi="Arial"/>
          <w:color w:val="263238"/>
          <w:sz w:val="22"/>
          <w:szCs w:val="22"/>
        </w:rPr>
        <w:t xml:space="preserve">Hãy dành 15 phút, tạm gác lại những tin nhắn hối thúc hay báo cáo doanh số. Lấy 6 trụ cột trên ra và thử đánh giá trung thực: Doanh nghiệp của bạn đang sở hữu vững chắc bao nhiêu trụ cột?</w:t>
      </w:r>
    </w:p>
    <w:p>
      <w:pPr>
        <w:spacing w:after="80"/>
      </w:pPr>
    </w:p>
    <w:p>
      <w:pPr>
        <w:spacing w:after="120"/>
      </w:pPr>
      <w:r>
        <w:rPr>
          <w:rFonts w:ascii="Arial" w:cs="Arial" w:eastAsia="Arial" w:hAnsi="Arial"/>
          <w:b/>
          <w:bCs/>
          <w:color w:val="1565C0"/>
          <w:sz w:val="20"/>
          <w:szCs w:val="20"/>
        </w:rPr>
        <w:t xml:space="preserve">BẢNG TỰ ĐÁNH GIÁ DOANH NGHIỆP CỦA BẠN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190"/>
        <w:gridCol w:w="2190"/>
      </w:tblGrid>
      <w:tr>
        <w:tc>
          <w:tcPr>
            <w:tcW w:type="dxa" w:w="600"/>
            <w:tcBorders>
              <w:top w:val="single" w:color="B0BEC5" w:sz="1"/>
              <w:left w:val="single" w:color="B0BEC5" w:sz="1"/>
              <w:bottom w:val="single" w:color="B0BEC5" w:sz="1"/>
              <w:right w:val="single" w:color="B0BEC5"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4380"/>
            <w:tcBorders>
              <w:top w:val="single" w:color="B0BEC5" w:sz="1"/>
              <w:left w:val="single" w:color="B0BEC5" w:sz="1"/>
              <w:bottom w:val="single" w:color="B0BEC5" w:sz="1"/>
              <w:right w:val="single" w:color="B0BEC5" w:sz="1"/>
            </w:tcBorders>
            <w:shd w:fill="1565C0" w:val="clear"/>
            <w:tcMar>
              <w:top w:type="dxa" w:w="100"/>
              <w:left w:type="dxa" w:w="140"/>
              <w:bottom w:type="dxa" w:w="100"/>
              <w:right w:type="dxa" w:w="140"/>
            </w:tcMar>
          </w:tcPr>
          <w:p>
            <w:r>
              <w:rPr>
                <w:rFonts w:ascii="Arial" w:cs="Arial" w:eastAsia="Arial" w:hAnsi="Arial"/>
                <w:b/>
                <w:bCs/>
                <w:color w:val="FFFFFF"/>
                <w:sz w:val="18"/>
                <w:szCs w:val="18"/>
              </w:rPr>
              <w:t xml:space="preserve">Trụ cột</w:t>
            </w:r>
          </w:p>
        </w:tc>
        <w:tc>
          <w:tcPr>
            <w:tcW w:type="dxa" w:w="2190"/>
            <w:tcBorders>
              <w:top w:val="single" w:color="B0BEC5" w:sz="1"/>
              <w:left w:val="single" w:color="B0BEC5" w:sz="1"/>
              <w:bottom w:val="single" w:color="B0BEC5" w:sz="1"/>
              <w:right w:val="single" w:color="B0BEC5"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Đạt / Chưa đạt</w:t>
            </w:r>
          </w:p>
        </w:tc>
        <w:tc>
          <w:tcPr>
            <w:tcW w:type="dxa" w:w="2190"/>
            <w:tcBorders>
              <w:top w:val="single" w:color="B0BEC5" w:sz="1"/>
              <w:left w:val="single" w:color="B0BEC5" w:sz="1"/>
              <w:bottom w:val="single" w:color="B0BEC5" w:sz="1"/>
              <w:right w:val="single" w:color="B0BEC5"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Ghi chú</w:t>
            </w:r>
          </w:p>
        </w:tc>
      </w:tr>
      <w:tr>
        <w:tc>
          <w:tcPr>
            <w:tcW w:type="dxa" w:w="60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pPr>
              <w:jc w:val="center"/>
            </w:pPr>
            <w:r>
              <w:rPr>
                <w:rFonts w:ascii="Arial" w:cs="Arial" w:eastAsia="Arial" w:hAnsi="Arial"/>
                <w:b/>
                <w:bCs/>
                <w:color w:val="0D47A1"/>
                <w:sz w:val="20"/>
                <w:szCs w:val="20"/>
              </w:rPr>
              <w:t xml:space="preserve">1</w:t>
            </w:r>
          </w:p>
        </w:tc>
        <w:tc>
          <w:tcPr>
            <w:tcW w:type="dxa" w:w="438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color w:val="263238"/>
                <w:sz w:val="20"/>
                <w:szCs w:val="20"/>
              </w:rPr>
              <w:t xml:space="preserve">Product-Market Fit</w:t>
            </w:r>
          </w:p>
        </w:tc>
        <w:tc>
          <w:tcPr>
            <w:tcW w:type="dxa" w:w="219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pPr>
              <w:jc w:val="center"/>
            </w:pPr>
            <w:r>
              <w:rPr>
                <w:rFonts w:ascii="Arial" w:cs="Arial" w:eastAsia="Arial" w:hAnsi="Arial"/>
                <w:sz w:val="20"/>
                <w:szCs w:val="20"/>
              </w:rPr>
              <w:t xml:space="preserve"> </w:t>
            </w:r>
          </w:p>
        </w:tc>
        <w:tc>
          <w:tcPr>
            <w:tcW w:type="dxa" w:w="219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sz w:val="20"/>
                <w:szCs w:val="20"/>
              </w:rPr>
              <w:t xml:space="preserve"> </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pPr>
              <w:jc w:val="center"/>
            </w:pPr>
            <w:r>
              <w:rPr>
                <w:rFonts w:ascii="Arial" w:cs="Arial" w:eastAsia="Arial" w:hAnsi="Arial"/>
                <w:b/>
                <w:bCs/>
                <w:color w:val="0D47A1"/>
                <w:sz w:val="20"/>
                <w:szCs w:val="20"/>
              </w:rPr>
              <w:t xml:space="preserve">2</w:t>
            </w:r>
          </w:p>
        </w:tc>
        <w:tc>
          <w:tcPr>
            <w:tcW w:type="dxa" w:w="438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263238"/>
                <w:sz w:val="20"/>
                <w:szCs w:val="20"/>
              </w:rPr>
              <w:t xml:space="preserve">Operational Excellence</w:t>
            </w:r>
          </w:p>
        </w:tc>
        <w:tc>
          <w:tcPr>
            <w:tcW w:type="dxa" w:w="219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 </w:t>
            </w:r>
          </w:p>
        </w:tc>
        <w:tc>
          <w:tcPr>
            <w:tcW w:type="dxa" w:w="219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sz w:val="20"/>
                <w:szCs w:val="20"/>
              </w:rPr>
              <w:t xml:space="preserve"> </w:t>
            </w:r>
          </w:p>
        </w:tc>
      </w:tr>
      <w:tr>
        <w:tc>
          <w:tcPr>
            <w:tcW w:type="dxa" w:w="60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pPr>
              <w:jc w:val="center"/>
            </w:pPr>
            <w:r>
              <w:rPr>
                <w:rFonts w:ascii="Arial" w:cs="Arial" w:eastAsia="Arial" w:hAnsi="Arial"/>
                <w:b/>
                <w:bCs/>
                <w:color w:val="0D47A1"/>
                <w:sz w:val="20"/>
                <w:szCs w:val="20"/>
              </w:rPr>
              <w:t xml:space="preserve">3</w:t>
            </w:r>
          </w:p>
        </w:tc>
        <w:tc>
          <w:tcPr>
            <w:tcW w:type="dxa" w:w="438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color w:val="263238"/>
                <w:sz w:val="20"/>
                <w:szCs w:val="20"/>
              </w:rPr>
              <w:t xml:space="preserve">Tacit Knowledge</w:t>
            </w:r>
          </w:p>
        </w:tc>
        <w:tc>
          <w:tcPr>
            <w:tcW w:type="dxa" w:w="219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pPr>
              <w:jc w:val="center"/>
            </w:pPr>
            <w:r>
              <w:rPr>
                <w:rFonts w:ascii="Arial" w:cs="Arial" w:eastAsia="Arial" w:hAnsi="Arial"/>
                <w:sz w:val="20"/>
                <w:szCs w:val="20"/>
              </w:rPr>
              <w:t xml:space="preserve"> </w:t>
            </w:r>
          </w:p>
        </w:tc>
        <w:tc>
          <w:tcPr>
            <w:tcW w:type="dxa" w:w="219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sz w:val="20"/>
                <w:szCs w:val="20"/>
              </w:rPr>
              <w:t xml:space="preserve"> </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pPr>
              <w:jc w:val="center"/>
            </w:pPr>
            <w:r>
              <w:rPr>
                <w:rFonts w:ascii="Arial" w:cs="Arial" w:eastAsia="Arial" w:hAnsi="Arial"/>
                <w:b/>
                <w:bCs/>
                <w:color w:val="0D47A1"/>
                <w:sz w:val="20"/>
                <w:szCs w:val="20"/>
              </w:rPr>
              <w:t xml:space="preserve">4</w:t>
            </w:r>
          </w:p>
        </w:tc>
        <w:tc>
          <w:tcPr>
            <w:tcW w:type="dxa" w:w="438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263238"/>
                <w:sz w:val="20"/>
                <w:szCs w:val="20"/>
              </w:rPr>
              <w:t xml:space="preserve">Technological Leverage</w:t>
            </w:r>
          </w:p>
        </w:tc>
        <w:tc>
          <w:tcPr>
            <w:tcW w:type="dxa" w:w="219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 </w:t>
            </w:r>
          </w:p>
        </w:tc>
        <w:tc>
          <w:tcPr>
            <w:tcW w:type="dxa" w:w="219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sz w:val="20"/>
                <w:szCs w:val="20"/>
              </w:rPr>
              <w:t xml:space="preserve"> </w:t>
            </w:r>
          </w:p>
        </w:tc>
      </w:tr>
      <w:tr>
        <w:tc>
          <w:tcPr>
            <w:tcW w:type="dxa" w:w="60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pPr>
              <w:jc w:val="center"/>
            </w:pPr>
            <w:r>
              <w:rPr>
                <w:rFonts w:ascii="Arial" w:cs="Arial" w:eastAsia="Arial" w:hAnsi="Arial"/>
                <w:b/>
                <w:bCs/>
                <w:color w:val="0D47A1"/>
                <w:sz w:val="20"/>
                <w:szCs w:val="20"/>
              </w:rPr>
              <w:t xml:space="preserve">5</w:t>
            </w:r>
          </w:p>
        </w:tc>
        <w:tc>
          <w:tcPr>
            <w:tcW w:type="dxa" w:w="438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color w:val="263238"/>
                <w:sz w:val="20"/>
                <w:szCs w:val="20"/>
              </w:rPr>
              <w:t xml:space="preserve">Unit Economics</w:t>
            </w:r>
          </w:p>
        </w:tc>
        <w:tc>
          <w:tcPr>
            <w:tcW w:type="dxa" w:w="219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pPr>
              <w:jc w:val="center"/>
            </w:pPr>
            <w:r>
              <w:rPr>
                <w:rFonts w:ascii="Arial" w:cs="Arial" w:eastAsia="Arial" w:hAnsi="Arial"/>
                <w:sz w:val="20"/>
                <w:szCs w:val="20"/>
              </w:rPr>
              <w:t xml:space="preserve"> </w:t>
            </w:r>
          </w:p>
        </w:tc>
        <w:tc>
          <w:tcPr>
            <w:tcW w:type="dxa" w:w="2190"/>
            <w:tcBorders>
              <w:top w:val="single" w:color="B0BEC5" w:sz="1"/>
              <w:left w:val="single" w:color="B0BEC5" w:sz="1"/>
              <w:bottom w:val="single" w:color="B0BEC5" w:sz="1"/>
              <w:right w:val="single" w:color="B0BEC5" w:sz="1"/>
            </w:tcBorders>
            <w:shd w:fill="F5F5F5" w:val="clear"/>
            <w:tcMar>
              <w:top w:type="dxa" w:w="100"/>
              <w:left w:type="dxa" w:w="140"/>
              <w:bottom w:type="dxa" w:w="100"/>
              <w:right w:type="dxa" w:w="140"/>
            </w:tcMar>
          </w:tcPr>
          <w:p>
            <w:r>
              <w:rPr>
                <w:rFonts w:ascii="Arial" w:cs="Arial" w:eastAsia="Arial" w:hAnsi="Arial"/>
                <w:sz w:val="20"/>
                <w:szCs w:val="20"/>
              </w:rPr>
              <w:t xml:space="preserve"> </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pPr>
              <w:jc w:val="center"/>
            </w:pPr>
            <w:r>
              <w:rPr>
                <w:rFonts w:ascii="Arial" w:cs="Arial" w:eastAsia="Arial" w:hAnsi="Arial"/>
                <w:b/>
                <w:bCs/>
                <w:color w:val="0D47A1"/>
                <w:sz w:val="20"/>
                <w:szCs w:val="20"/>
              </w:rPr>
              <w:t xml:space="preserve">6</w:t>
            </w:r>
          </w:p>
        </w:tc>
        <w:tc>
          <w:tcPr>
            <w:tcW w:type="dxa" w:w="438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263238"/>
                <w:sz w:val="20"/>
                <w:szCs w:val="20"/>
              </w:rPr>
              <w:t xml:space="preserve">Scalability &amp; Agility</w:t>
            </w:r>
          </w:p>
        </w:tc>
        <w:tc>
          <w:tcPr>
            <w:tcW w:type="dxa" w:w="219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 </w:t>
            </w:r>
          </w:p>
        </w:tc>
        <w:tc>
          <w:tcPr>
            <w:tcW w:type="dxa" w:w="219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sz w:val="20"/>
                <w:szCs w:val="20"/>
              </w:rPr>
              <w:t xml:space="preserve"> </w:t>
            </w:r>
          </w:p>
        </w:tc>
      </w:tr>
    </w:tbl>
    <w:p>
      <w:pPr>
        <w:spacing w:after="160"/>
      </w:pPr>
    </w:p>
    <w:p>
      <w:pPr>
        <w:pBdr>
          <w:left w:val="single" w:color="0D47A1" w:sz="14" w:space="10"/>
        </w:pBdr>
        <w:shd w:fill="E3F2FD" w:val="clear"/>
        <w:spacing w:after="200" w:before="160"/>
        <w:ind w:left="360" w:right="360"/>
      </w:pPr>
      <w:r>
        <w:rPr>
          <w:rFonts w:ascii="Arial" w:cs="Arial" w:eastAsia="Arial" w:hAnsi="Arial"/>
          <w:b/>
          <w:bCs/>
          <w:i/>
          <w:iCs/>
          <w:color w:val="0D47A1"/>
          <w:sz w:val="24"/>
          <w:szCs w:val="24"/>
        </w:rPr>
        <w:t xml:space="preserve">Đừng sợ hãi nếu câu trả lời là một con số rất thấp. Biết mình sai ở đâu để đập đi xây lại cái gốc, vẫn còn tốt hơn vạn lần việc tiếp tục xây thêm tầng trên một nền móng chưa vững.</w:t>
      </w:r>
    </w:p>
    <w:p>
      <w:pPr>
        <w:spacing w:after="140" w:line="340"/>
      </w:pPr>
      <w:r>
        <w:rPr>
          <w:rFonts w:ascii="Arial" w:cs="Arial" w:eastAsia="Arial" w:hAnsi="Arial"/>
          <w:b/>
          <w:bCs/>
          <w:color w:val="263238"/>
          <w:sz w:val="22"/>
          <w:szCs w:val="22"/>
        </w:rPr>
        <w:t xml:space="preserve">Chúc bạn một tuần làm việc hiệu quả và tập trung vào Thực chiến.</w:t>
      </w:r>
    </w:p>
    <w:p>
      <w:pPr>
        <w:spacing w:after="200"/>
      </w:pPr>
    </w:p>
    <w:p>
      <w:pPr>
        <w:spacing w:after="60"/>
      </w:pPr>
      <w:r>
        <w:rPr>
          <w:rFonts w:ascii="Arial" w:cs="Arial" w:eastAsia="Arial" w:hAnsi="Arial"/>
          <w:i/>
          <w:iCs/>
          <w:color w:val="546E7A"/>
          <w:sz w:val="18"/>
          <w:szCs w:val="18"/>
        </w:rPr>
        <w:t xml:space="preserve">#AiDayBanLamCEO  #CEOUntoldStories  #StartupReality  #BaiHocKhoiNghiep  #TuQuanLy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9026"/>
      </w:tabs>
    </w:pPr>
    <w:r>
      <w:rPr>
        <w:rFonts w:ascii="Arial" w:cs="Arial" w:eastAsia="Arial" w:hAnsi="Arial"/>
        <w:i/>
        <w:iCs/>
        <w:color w:val="546E7A"/>
        <w:sz w:val="16"/>
        <w:szCs w:val="16"/>
      </w:rPr>
      <w:t xml:space="preserve">"Tạm Dừng" Để Tái Định Nghĩa Giá Trị Doanh Nghiệp</w:t>
    </w:r>
    <w:r>
      <w:rPr>
        <w:rFonts w:ascii="Arial" w:cs="Arial" w:eastAsia="Arial" w:hAnsi="Arial"/>
        <w:color w:val="546E7A"/>
        <w:sz w:val="16"/>
        <w:szCs w:val="16"/>
      </w:rPr>
      <w:t xml:space="preserve">	#AiDayBanLamCEO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2026-03-14T15:33:21.114Z</dcterms:created>
  <dcterms:modified xsi:type="dcterms:W3CDTF">2026-03-14T15:33:21.115Z</dcterms:modified>
</cp:coreProperties>
</file>

<file path=docProps/custom.xml><?xml version="1.0" encoding="utf-8"?>
<Properties xmlns="http://schemas.openxmlformats.org/officeDocument/2006/custom-properties" xmlns:vt="http://schemas.openxmlformats.org/officeDocument/2006/docPropsVTypes"/>
</file>