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90D" w:rsidRPr="0087390D" w:rsidRDefault="0087390D" w:rsidP="0087390D">
      <w:pPr>
        <w:shd w:val="clear" w:color="auto" w:fill="FFFFFF"/>
        <w:spacing w:after="300" w:line="360" w:lineRule="atLeast"/>
        <w:jc w:val="center"/>
        <w:rPr>
          <w:rFonts w:ascii="Open Sans" w:eastAsia="Times New Roman" w:hAnsi="Open Sans" w:cs="Times New Roman"/>
          <w:bCs/>
          <w:color w:val="0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5" w:history="1">
        <w:r w:rsidRPr="0087390D">
          <w:rPr>
            <w:rStyle w:val="Hyperlink"/>
            <w:rFonts w:ascii="Open Sans" w:eastAsia="Times New Roman" w:hAnsi="Open Sans"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Phụ kiện cần thiết cho quá trình chuẩn bị và phân tích mẫu phòng thí nghiệm</w:t>
        </w:r>
      </w:hyperlink>
    </w:p>
    <w:p w:rsidR="0087390D" w:rsidRDefault="0087390D" w:rsidP="0087390D">
      <w:pPr>
        <w:shd w:val="clear" w:color="auto" w:fill="FFFFFF"/>
        <w:spacing w:after="300" w:line="360" w:lineRule="atLeast"/>
        <w:rPr>
          <w:rFonts w:ascii="Open Sans" w:eastAsia="Times New Roman" w:hAnsi="Open Sans" w:cs="Times New Roman"/>
          <w:b/>
          <w:bCs/>
          <w:color w:val="000000"/>
          <w:sz w:val="21"/>
          <w:szCs w:val="21"/>
        </w:rPr>
      </w:pP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b/>
          <w:bCs/>
          <w:color w:val="000000"/>
          <w:sz w:val="21"/>
          <w:szCs w:val="21"/>
        </w:rPr>
        <w:t>Chuẩn bị mẫu kim tương</w:t>
      </w:r>
      <w:r w:rsidRPr="0087390D">
        <w:rPr>
          <w:rFonts w:ascii="Open Sans" w:eastAsia="Times New Roman" w:hAnsi="Open Sans" w:cs="Times New Roman"/>
          <w:color w:val="000000"/>
          <w:sz w:val="21"/>
          <w:szCs w:val="21"/>
        </w:rPr>
        <w:t> là một quá trình quan trọng trong các khâu phân tích sản phẩm, kiểm tra chất lượng sản phẩm, tìm kiểm lỗi trong thành phẩm. Quá trình này sẽ đi qua nhiều bước khác nhau, ở mỗi bước sẽ có những thủ thuật riêng mà bạn cần phải thành thục để có thể thực hiện chính xác để có thể rút ngắn thời gian chuẩn bị mẫu, giảm thiểu số lượng mẫu hỏng (gây tiêu hao vật liệu và thời gian tiến hành công việc). Bài viết này sẽ giới thiệu cho bạn một số phụ kiện giúp quá trình chuẩn bị mẫu của bạn diễn ra dễ dàng và nhanh chóng hơn</w:t>
      </w:r>
    </w:p>
    <w:p w:rsidR="0087390D" w:rsidRPr="0087390D" w:rsidRDefault="0087390D" w:rsidP="0087390D">
      <w:pPr>
        <w:shd w:val="clear" w:color="auto" w:fill="FFFFFF"/>
        <w:spacing w:after="480" w:line="300" w:lineRule="atLeast"/>
        <w:outlineLvl w:val="1"/>
        <w:rPr>
          <w:rFonts w:ascii="Open Sans" w:eastAsia="Times New Roman" w:hAnsi="Open Sans" w:cs="Times New Roman"/>
          <w:color w:val="0088CC"/>
          <w:spacing w:val="-15"/>
          <w:sz w:val="24"/>
          <w:szCs w:val="24"/>
        </w:rPr>
      </w:pPr>
      <w:r w:rsidRPr="0087390D">
        <w:rPr>
          <w:rFonts w:ascii="Open Sans" w:eastAsia="Times New Roman" w:hAnsi="Open Sans" w:cs="Times New Roman"/>
          <w:b/>
          <w:bCs/>
          <w:color w:val="000000"/>
          <w:spacing w:val="-15"/>
          <w:sz w:val="36"/>
          <w:szCs w:val="36"/>
        </w:rPr>
        <w:t>Các bước chuẩn bị mẫu kim tương</w:t>
      </w:r>
    </w:p>
    <w:p w:rsidR="0087390D" w:rsidRPr="0087390D" w:rsidRDefault="0087390D" w:rsidP="0087390D">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0000"/>
          <w:sz w:val="21"/>
          <w:szCs w:val="21"/>
        </w:rPr>
        <w:t>Bước 1</w:t>
      </w:r>
      <w:r w:rsidRPr="0087390D">
        <w:rPr>
          <w:rFonts w:ascii="Open Sans" w:eastAsia="Times New Roman" w:hAnsi="Open Sans" w:cs="Times New Roman"/>
          <w:color w:val="000000"/>
          <w:sz w:val="21"/>
          <w:szCs w:val="21"/>
        </w:rPr>
        <w:t>: Cắt mẫu</w:t>
      </w:r>
    </w:p>
    <w:p w:rsidR="0087390D" w:rsidRPr="0087390D" w:rsidRDefault="0087390D" w:rsidP="0087390D">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0000"/>
          <w:sz w:val="21"/>
          <w:szCs w:val="21"/>
        </w:rPr>
        <w:t>Bước 2</w:t>
      </w:r>
      <w:r w:rsidRPr="0087390D">
        <w:rPr>
          <w:rFonts w:ascii="Open Sans" w:eastAsia="Times New Roman" w:hAnsi="Open Sans" w:cs="Times New Roman"/>
          <w:color w:val="000000"/>
          <w:sz w:val="21"/>
          <w:szCs w:val="21"/>
        </w:rPr>
        <w:t>: Đúc mẫu</w:t>
      </w:r>
    </w:p>
    <w:p w:rsidR="0087390D" w:rsidRPr="0087390D" w:rsidRDefault="0087390D" w:rsidP="0087390D">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0000"/>
          <w:sz w:val="21"/>
          <w:szCs w:val="21"/>
        </w:rPr>
        <w:t>Bước 3</w:t>
      </w:r>
      <w:r w:rsidRPr="0087390D">
        <w:rPr>
          <w:rFonts w:ascii="Open Sans" w:eastAsia="Times New Roman" w:hAnsi="Open Sans" w:cs="Times New Roman"/>
          <w:color w:val="000000"/>
          <w:sz w:val="21"/>
          <w:szCs w:val="21"/>
        </w:rPr>
        <w:t>: Mài và đánh bóng mẫu đã đúc</w:t>
      </w:r>
    </w:p>
    <w:p w:rsidR="0087390D" w:rsidRPr="0087390D" w:rsidRDefault="0087390D" w:rsidP="0087390D">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0000"/>
          <w:sz w:val="21"/>
          <w:szCs w:val="21"/>
        </w:rPr>
        <w:t>Bước 4</w:t>
      </w:r>
      <w:r w:rsidRPr="0087390D">
        <w:rPr>
          <w:rFonts w:ascii="Open Sans" w:eastAsia="Times New Roman" w:hAnsi="Open Sans" w:cs="Times New Roman"/>
          <w:color w:val="000000"/>
          <w:sz w:val="21"/>
          <w:szCs w:val="21"/>
        </w:rPr>
        <w:t>: Phân tích mẫu dưới kính hiển vi</w:t>
      </w:r>
    </w:p>
    <w:p w:rsidR="0087390D" w:rsidRPr="0087390D" w:rsidRDefault="0087390D" w:rsidP="0087390D">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0000"/>
          <w:sz w:val="21"/>
          <w:szCs w:val="21"/>
        </w:rPr>
        <w:t>Bước 5</w:t>
      </w:r>
      <w:r w:rsidRPr="0087390D">
        <w:rPr>
          <w:rFonts w:ascii="Open Sans" w:eastAsia="Times New Roman" w:hAnsi="Open Sans" w:cs="Times New Roman"/>
          <w:color w:val="000000"/>
          <w:sz w:val="21"/>
          <w:szCs w:val="21"/>
        </w:rPr>
        <w:t>: Báo cáo và đánh giá kết quả</w:t>
      </w: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color w:val="000000"/>
          <w:sz w:val="21"/>
          <w:szCs w:val="21"/>
        </w:rPr>
        <w:t>Trên đây là tổng quan năm bước của một quá trình chuẩn bị mẫu, Lidinco đã có một bài viết chi tiết về quá trình này nếu chưa đọc qua bạn có thể tìm hiểu thêm về các kỹ thuật củng như máy móc vật tư chính cho từng bước</w:t>
      </w:r>
      <w:r w:rsidRPr="0087390D">
        <w:rPr>
          <w:rFonts w:ascii="Open Sans" w:eastAsia="Times New Roman" w:hAnsi="Open Sans" w:cs="Times New Roman"/>
          <w:color w:val="008000"/>
          <w:sz w:val="21"/>
          <w:szCs w:val="21"/>
        </w:rPr>
        <w:t> </w:t>
      </w:r>
      <w:hyperlink r:id="rId6" w:tgtFrame="_blank" w:history="1">
        <w:r w:rsidRPr="0087390D">
          <w:rPr>
            <w:rFonts w:ascii="Open Sans" w:eastAsia="Times New Roman" w:hAnsi="Open Sans" w:cs="Times New Roman"/>
            <w:b/>
            <w:bCs/>
            <w:color w:val="0088CC"/>
            <w:sz w:val="21"/>
            <w:szCs w:val="21"/>
          </w:rPr>
          <w:t>tại đây</w:t>
        </w:r>
      </w:hyperlink>
      <w:r w:rsidRPr="0087390D">
        <w:rPr>
          <w:rFonts w:ascii="Open Sans" w:eastAsia="Times New Roman" w:hAnsi="Open Sans" w:cs="Times New Roman"/>
          <w:color w:val="000000"/>
          <w:sz w:val="21"/>
          <w:szCs w:val="21"/>
        </w:rPr>
        <w:t> . Còn ở bài viết này chúng tôi sẽ không nhắc lại mà chỉ đề cập đến một số phụ kiện bổ trợ thêm cho từng giai đoạn</w:t>
      </w:r>
    </w:p>
    <w:p w:rsidR="0087390D" w:rsidRPr="0087390D" w:rsidRDefault="0087390D" w:rsidP="0087390D">
      <w:pPr>
        <w:shd w:val="clear" w:color="auto" w:fill="FFFFFF"/>
        <w:spacing w:after="480" w:line="300" w:lineRule="atLeast"/>
        <w:outlineLvl w:val="1"/>
        <w:rPr>
          <w:rFonts w:ascii="Open Sans" w:eastAsia="Times New Roman" w:hAnsi="Open Sans" w:cs="Times New Roman"/>
          <w:color w:val="0088CC"/>
          <w:spacing w:val="-15"/>
          <w:sz w:val="24"/>
          <w:szCs w:val="24"/>
        </w:rPr>
      </w:pPr>
      <w:r w:rsidRPr="0087390D">
        <w:rPr>
          <w:rFonts w:ascii="Open Sans" w:eastAsia="Times New Roman" w:hAnsi="Open Sans" w:cs="Times New Roman"/>
          <w:b/>
          <w:bCs/>
          <w:color w:val="000000"/>
          <w:spacing w:val="-15"/>
          <w:sz w:val="36"/>
          <w:szCs w:val="36"/>
        </w:rPr>
        <w:t>Phụ kiện cho quá trình cắt</w:t>
      </w: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color w:val="000000"/>
          <w:sz w:val="21"/>
          <w:szCs w:val="21"/>
        </w:rPr>
        <w:t>Cắt mẫu có thể được xem là bước đơn giản nhất trong quá trình chuẩn bị mẫu nên số phụ kiện không nhiều. Ngoài các loại lưỡi cắt cho máy thì phụ kiện chủ yếu là </w:t>
      </w:r>
      <w:r w:rsidRPr="0087390D">
        <w:rPr>
          <w:rFonts w:ascii="Open Sans" w:eastAsia="Times New Roman" w:hAnsi="Open Sans" w:cs="Times New Roman"/>
          <w:b/>
          <w:bCs/>
          <w:color w:val="000000"/>
          <w:sz w:val="21"/>
          <w:szCs w:val="21"/>
        </w:rPr>
        <w:t>thanh đá để mài lưỡi dao</w:t>
      </w:r>
      <w:r w:rsidRPr="0087390D">
        <w:rPr>
          <w:rFonts w:ascii="Open Sans" w:eastAsia="Times New Roman" w:hAnsi="Open Sans" w:cs="Times New Roman"/>
          <w:color w:val="000000"/>
          <w:sz w:val="21"/>
          <w:szCs w:val="21"/>
        </w:rPr>
        <w:t>, </w:t>
      </w:r>
      <w:r w:rsidRPr="0087390D">
        <w:rPr>
          <w:rFonts w:ascii="Open Sans" w:eastAsia="Times New Roman" w:hAnsi="Open Sans" w:cs="Times New Roman"/>
          <w:b/>
          <w:bCs/>
          <w:color w:val="000000"/>
          <w:sz w:val="21"/>
          <w:szCs w:val="21"/>
        </w:rPr>
        <w:t>bộ giữ mẫu</w:t>
      </w:r>
      <w:r w:rsidRPr="0087390D">
        <w:rPr>
          <w:rFonts w:ascii="Open Sans" w:eastAsia="Times New Roman" w:hAnsi="Open Sans" w:cs="Times New Roman"/>
          <w:color w:val="000000"/>
          <w:sz w:val="21"/>
          <w:szCs w:val="21"/>
        </w:rPr>
        <w:t> và </w:t>
      </w:r>
      <w:r w:rsidRPr="0087390D">
        <w:rPr>
          <w:rFonts w:ascii="Open Sans" w:eastAsia="Times New Roman" w:hAnsi="Open Sans" w:cs="Times New Roman"/>
          <w:b/>
          <w:bCs/>
          <w:color w:val="000000"/>
          <w:sz w:val="21"/>
          <w:szCs w:val="21"/>
        </w:rPr>
        <w:t>dầu cắt</w:t>
      </w:r>
    </w:p>
    <w:p w:rsidR="0087390D" w:rsidRPr="0087390D" w:rsidRDefault="0087390D" w:rsidP="0087390D">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Dressing Stick for Blades</w:t>
      </w:r>
      <w:r w:rsidRPr="0087390D">
        <w:rPr>
          <w:rFonts w:ascii="Open Sans" w:eastAsia="Times New Roman" w:hAnsi="Open Sans" w:cs="Times New Roman"/>
          <w:color w:val="008000"/>
          <w:sz w:val="21"/>
          <w:szCs w:val="21"/>
        </w:rPr>
        <w:t>:</w:t>
      </w:r>
      <w:r w:rsidRPr="0087390D">
        <w:rPr>
          <w:rFonts w:ascii="Open Sans" w:eastAsia="Times New Roman" w:hAnsi="Open Sans" w:cs="Times New Roman"/>
          <w:color w:val="000000"/>
          <w:sz w:val="21"/>
          <w:szCs w:val="21"/>
        </w:rPr>
        <w:t> Giúp vệ sinh lưỡi dao, làm sạch viền, làm mới bề mặt tiếp xúc, cho vết cắt tốt hơn và giảm thiểu sinh nhiệt trong quá trình cắt</w:t>
      </w:r>
    </w:p>
    <w:p w:rsidR="0087390D" w:rsidRPr="0087390D" w:rsidRDefault="0087390D" w:rsidP="0087390D">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Bộ giữ mẫu</w:t>
      </w:r>
      <w:r w:rsidRPr="0087390D">
        <w:rPr>
          <w:rFonts w:ascii="Open Sans" w:eastAsia="Times New Roman" w:hAnsi="Open Sans" w:cs="Times New Roman"/>
          <w:color w:val="008000"/>
          <w:sz w:val="21"/>
          <w:szCs w:val="21"/>
        </w:rPr>
        <w:t>:</w:t>
      </w:r>
      <w:r w:rsidRPr="0087390D">
        <w:rPr>
          <w:rFonts w:ascii="Open Sans" w:eastAsia="Times New Roman" w:hAnsi="Open Sans" w:cs="Times New Roman"/>
          <w:color w:val="000000"/>
          <w:sz w:val="21"/>
          <w:szCs w:val="21"/>
        </w:rPr>
        <w:t> Do các mẫu dùng để phân tích có kích thước rất nhỏ nên cần phải có các bộ phận giữ mẫu chuyên dụng cho thiết bị để đạt độ chính xác cao nhất</w:t>
      </w:r>
    </w:p>
    <w:p w:rsidR="0087390D" w:rsidRPr="0087390D" w:rsidRDefault="0087390D" w:rsidP="0087390D">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lastRenderedPageBreak/>
        <w:t>Dầu cắt:</w:t>
      </w:r>
      <w:r w:rsidRPr="0087390D">
        <w:rPr>
          <w:rFonts w:ascii="Open Sans" w:eastAsia="Times New Roman" w:hAnsi="Open Sans" w:cs="Times New Roman"/>
          <w:color w:val="000000"/>
          <w:sz w:val="21"/>
          <w:szCs w:val="21"/>
        </w:rPr>
        <w:t> Làm mát, chống ăn mòn, giảm ma sát giúp hạn chế hư hao mẫu cắt. Dầu cắt được chia làm hai loại là dầu cắt tốc độ cao và tốc độ thấp phù hợp với hai loại quá trình cắt khác nhau</w:t>
      </w:r>
    </w:p>
    <w:tbl>
      <w:tblPr>
        <w:tblW w:w="11952" w:type="dxa"/>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4032"/>
        <w:gridCol w:w="3941"/>
        <w:gridCol w:w="3979"/>
      </w:tblGrid>
      <w:tr w:rsidR="0087390D" w:rsidRPr="0087390D" w:rsidTr="0087390D">
        <w:trPr>
          <w:trHeight w:val="3780"/>
        </w:trPr>
        <w:tc>
          <w:tcPr>
            <w:tcW w:w="4032"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407920" cy="2407920"/>
                  <wp:effectExtent l="0" t="0" r="0" b="0"/>
                  <wp:docPr id="17" name="Picture 17" descr="Thanh vệ sinh đĩa cắt, lưỡi cư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h vệ sinh đĩa cắt, lưỡi cư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p>
        </w:tc>
        <w:tc>
          <w:tcPr>
            <w:tcW w:w="3941"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049780" cy="2377440"/>
                  <wp:effectExtent l="0" t="0" r="7620" b="3810"/>
                  <wp:docPr id="16" name="Picture 16" descr="Bộ phận giữ mẫu cho máy cắ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ộ phận giữ mẫu cho máy cắ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377440"/>
                          </a:xfrm>
                          <a:prstGeom prst="rect">
                            <a:avLst/>
                          </a:prstGeom>
                          <a:noFill/>
                          <a:ln>
                            <a:noFill/>
                          </a:ln>
                        </pic:spPr>
                      </pic:pic>
                    </a:graphicData>
                  </a:graphic>
                </wp:inline>
              </w:drawing>
            </w:r>
          </w:p>
        </w:tc>
        <w:tc>
          <w:tcPr>
            <w:tcW w:w="3979"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316480" cy="2316480"/>
                  <wp:effectExtent l="0" t="0" r="7620" b="7620"/>
                  <wp:docPr id="15" name="Picture 15" descr="Dầu cắt gọt kim loại Cắt tốc độ cao LUBRI-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ầu cắt gọt kim loại Cắt tốc độ cao LUBRI-C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tc>
      </w:tr>
    </w:tbl>
    <w:p w:rsidR="0087390D" w:rsidRPr="0087390D" w:rsidRDefault="0087390D" w:rsidP="0087390D">
      <w:pPr>
        <w:shd w:val="clear" w:color="auto" w:fill="FFFFFF"/>
        <w:spacing w:after="480" w:line="300" w:lineRule="atLeast"/>
        <w:outlineLvl w:val="1"/>
        <w:rPr>
          <w:rFonts w:ascii="Open Sans" w:eastAsia="Times New Roman" w:hAnsi="Open Sans" w:cs="Times New Roman"/>
          <w:color w:val="0088CC"/>
          <w:spacing w:val="-15"/>
          <w:sz w:val="24"/>
          <w:szCs w:val="24"/>
        </w:rPr>
      </w:pPr>
      <w:r w:rsidRPr="0087390D">
        <w:rPr>
          <w:rFonts w:ascii="Open Sans" w:eastAsia="Times New Roman" w:hAnsi="Open Sans" w:cs="Times New Roman"/>
          <w:b/>
          <w:bCs/>
          <w:color w:val="000000"/>
          <w:spacing w:val="-15"/>
          <w:sz w:val="36"/>
          <w:szCs w:val="36"/>
        </w:rPr>
        <w:t>Phụ kiện quá trình đúc mẫu</w:t>
      </w: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b/>
          <w:bCs/>
          <w:color w:val="000000"/>
          <w:sz w:val="21"/>
          <w:szCs w:val="21"/>
        </w:rPr>
        <w:t>Đúc mẫu</w:t>
      </w:r>
      <w:r w:rsidRPr="0087390D">
        <w:rPr>
          <w:rFonts w:ascii="Open Sans" w:eastAsia="Times New Roman" w:hAnsi="Open Sans" w:cs="Times New Roman"/>
          <w:color w:val="000000"/>
          <w:sz w:val="21"/>
          <w:szCs w:val="21"/>
        </w:rPr>
        <w:t> là quá trình tương đối phức tạp, đúc mẫu được chia thành </w:t>
      </w:r>
      <w:hyperlink r:id="rId10" w:tgtFrame="_blank" w:history="1">
        <w:r w:rsidRPr="0087390D">
          <w:rPr>
            <w:rFonts w:ascii="Open Sans" w:eastAsia="Times New Roman" w:hAnsi="Open Sans" w:cs="Times New Roman"/>
            <w:b/>
            <w:bCs/>
            <w:i/>
            <w:iCs/>
            <w:color w:val="0088CC"/>
            <w:sz w:val="21"/>
            <w:szCs w:val="21"/>
          </w:rPr>
          <w:t>đúc mẫu nóng</w:t>
        </w:r>
      </w:hyperlink>
      <w:r w:rsidRPr="0087390D">
        <w:rPr>
          <w:rFonts w:ascii="Open Sans" w:eastAsia="Times New Roman" w:hAnsi="Open Sans" w:cs="Times New Roman"/>
          <w:color w:val="000000"/>
          <w:sz w:val="21"/>
          <w:szCs w:val="21"/>
        </w:rPr>
        <w:t> và </w:t>
      </w:r>
      <w:r w:rsidRPr="0087390D">
        <w:rPr>
          <w:rFonts w:ascii="Open Sans" w:eastAsia="Times New Roman" w:hAnsi="Open Sans" w:cs="Times New Roman"/>
          <w:b/>
          <w:bCs/>
          <w:i/>
          <w:iCs/>
          <w:color w:val="008000"/>
          <w:sz w:val="21"/>
          <w:szCs w:val="21"/>
          <w:u w:val="single"/>
        </w:rPr>
        <w:t>đúc mẫu nguội</w:t>
      </w:r>
      <w:r w:rsidRPr="0087390D">
        <w:rPr>
          <w:rFonts w:ascii="Open Sans" w:eastAsia="Times New Roman" w:hAnsi="Open Sans" w:cs="Times New Roman"/>
          <w:color w:val="000000"/>
          <w:sz w:val="21"/>
          <w:szCs w:val="21"/>
        </w:rPr>
        <w:t>. Tùy vào đặc tính của mẫu cần phân tích mà bạn có thể chọn một trong hai phương pháp này. Đúc mẫu nóng sẽ cho khuôn đúc đục không quan sát được mẫu bên trong khuôn hoặc quan sát được nhưng rất mờ phù hợp phân tích các mẫu kim loại lớn, đúc mẫu nguội là cho khuôn có độ trong trẻo cao thường được sử dụng cho các mẫu nhỏ như chip, linh kiện</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Dung dịch phân rã Epoxy (Epoxy Dissolver):</w:t>
      </w:r>
      <w:r w:rsidRPr="0087390D">
        <w:rPr>
          <w:rFonts w:ascii="Open Sans" w:eastAsia="Times New Roman" w:hAnsi="Open Sans" w:cs="Times New Roman"/>
          <w:color w:val="000000"/>
          <w:sz w:val="21"/>
          <w:szCs w:val="21"/>
        </w:rPr>
        <w:t> Dạng dung môi đặc biệt giúp hòa tan </w:t>
      </w:r>
      <w:r w:rsidRPr="0087390D">
        <w:rPr>
          <w:rFonts w:ascii="Open Sans" w:eastAsia="Times New Roman" w:hAnsi="Open Sans" w:cs="Times New Roman"/>
          <w:i/>
          <w:iCs/>
          <w:color w:val="000000"/>
          <w:sz w:val="21"/>
          <w:szCs w:val="21"/>
        </w:rPr>
        <w:t>dung dịch đóng khuôn Epoxy</w:t>
      </w:r>
      <w:r w:rsidRPr="0087390D">
        <w:rPr>
          <w:rFonts w:ascii="Open Sans" w:eastAsia="Times New Roman" w:hAnsi="Open Sans" w:cs="Times New Roman"/>
          <w:color w:val="000000"/>
          <w:sz w:val="21"/>
          <w:szCs w:val="21"/>
        </w:rPr>
        <w:t> giúp tách mẫu khỏi phần nhựa Epoxy trong một số trường hợp cần thiết. Tuy nhiên, cần lưu ý đối với các mẫu có các lớp nhựa nhiệt dẻo, lớp phủ nhựa có thể bị dung dịch ăn mòn. Tuy nhiên, chúng không ảnh hưởng đến các phần kim loại</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Chất chống dính khuôn (Mold Releases):</w:t>
      </w:r>
      <w:r w:rsidRPr="0087390D">
        <w:rPr>
          <w:rFonts w:ascii="Open Sans" w:eastAsia="Times New Roman" w:hAnsi="Open Sans" w:cs="Times New Roman"/>
          <w:color w:val="000000"/>
          <w:sz w:val="21"/>
          <w:szCs w:val="21"/>
        </w:rPr>
        <w:t> Khi đông đặc Epoxy thường dính cứng vào khuôn làm quá trình lấy khuôn đúc gặp nhiều khó khăn. Tráng phủ một lớp Mold Releases trước khi đổ Epoxy vào khuôn để lấy khuôn đúc mẫu ra dễ dàng nhất</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Cốc trộn dung dịch Epoxy:</w:t>
      </w:r>
      <w:r w:rsidRPr="0087390D">
        <w:rPr>
          <w:rFonts w:ascii="Open Sans" w:eastAsia="Times New Roman" w:hAnsi="Open Sans" w:cs="Times New Roman"/>
          <w:color w:val="000000"/>
          <w:sz w:val="21"/>
          <w:szCs w:val="21"/>
        </w:rPr>
        <w:t> Sử dụng để trộn Epoxy hoặc Acrylic, cốc có khả năng chịu hóa chất để không ảnh hưởng đến thành phần phối trộn dung dịch</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Tủ chứa mẫu:</w:t>
      </w:r>
      <w:r w:rsidRPr="0087390D">
        <w:rPr>
          <w:rFonts w:ascii="Open Sans" w:eastAsia="Times New Roman" w:hAnsi="Open Sans" w:cs="Times New Roman"/>
          <w:color w:val="000000"/>
          <w:sz w:val="21"/>
          <w:szCs w:val="21"/>
        </w:rPr>
        <w:t> Thiết kế giúp chứa các khuôn đúc một cách gọn gàng</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Cốc đông mẫu tái sử dụng (Mounting Cups):</w:t>
      </w:r>
      <w:r w:rsidRPr="0087390D">
        <w:rPr>
          <w:rFonts w:ascii="Open Sans" w:eastAsia="Times New Roman" w:hAnsi="Open Sans" w:cs="Times New Roman"/>
          <w:color w:val="000000"/>
          <w:sz w:val="21"/>
          <w:szCs w:val="21"/>
        </w:rPr>
        <w:t xml:space="preserve"> Loại cốc này gồm có hai bộ phận là đáy và thân. Sau khi đông đặc có thể tháo phần đáy để lấy khuôn ra, loại cốc đúc này có một hạn chế là nếu Epoxy tràn vào </w:t>
      </w:r>
      <w:r w:rsidRPr="0087390D">
        <w:rPr>
          <w:rFonts w:ascii="Open Sans" w:eastAsia="Times New Roman" w:hAnsi="Open Sans" w:cs="Times New Roman"/>
          <w:color w:val="000000"/>
          <w:sz w:val="21"/>
          <w:szCs w:val="21"/>
        </w:rPr>
        <w:lastRenderedPageBreak/>
        <w:t>phần khe hở giữ đáy và thân sẽ khó lấy được khuôn ra. Tuy nhiên, sản phẩm có thể tái sử dụng nhiều lần</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Cốc đông mẫu sử dụng một lần (Mounting Cups):</w:t>
      </w:r>
      <w:r w:rsidRPr="0087390D">
        <w:rPr>
          <w:rFonts w:ascii="Open Sans" w:eastAsia="Times New Roman" w:hAnsi="Open Sans" w:cs="Times New Roman"/>
          <w:color w:val="000000"/>
          <w:sz w:val="21"/>
          <w:szCs w:val="21"/>
        </w:rPr>
        <w:t> Phần vỏ mềm sau khi tiến hành quá trình đúc mẫu nguội có thể xé phần quai khuôn để lấy mẫu một cách đơn giản</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Khuôn đúc mẫu bằng Silicon (Silicone Mold Cups):</w:t>
      </w:r>
      <w:r w:rsidRPr="0087390D">
        <w:rPr>
          <w:rFonts w:ascii="Open Sans" w:eastAsia="Times New Roman" w:hAnsi="Open Sans" w:cs="Times New Roman"/>
          <w:color w:val="000000"/>
          <w:sz w:val="21"/>
          <w:szCs w:val="21"/>
        </w:rPr>
        <w:t> Thành dày sử dụng cho các quá trình đúc mẫu sinh nhiệt cao, có thể tái sử dụng</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Sáp cố định mẫu (Mounting Wax Disc):</w:t>
      </w:r>
      <w:r w:rsidRPr="0087390D">
        <w:rPr>
          <w:rFonts w:ascii="Open Sans" w:eastAsia="Times New Roman" w:hAnsi="Open Sans" w:cs="Times New Roman"/>
          <w:color w:val="000000"/>
          <w:sz w:val="21"/>
          <w:szCs w:val="21"/>
        </w:rPr>
        <w:t> Dạng đĩa dán, thường sử dụng với các mẫu có diện tích bề mặt lớn, cắt nhỏ thành từng phần sau đó hơ nóng để lớp keo chảy ra cố định mẫu</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Sáp cố định mẫu (Mounting Wax Hot):</w:t>
      </w:r>
      <w:r w:rsidRPr="0087390D">
        <w:rPr>
          <w:rFonts w:ascii="Open Sans" w:eastAsia="Times New Roman" w:hAnsi="Open Sans" w:cs="Times New Roman"/>
          <w:color w:val="000000"/>
          <w:sz w:val="21"/>
          <w:szCs w:val="21"/>
        </w:rPr>
        <w:t> Sử dụng cho các mẫu có kích thước nhỏ, hơ nóng để sáp chảy ra và bám dính mẫu</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Kẹp giữ mẫu (Sample Holding Clips &amp; Stands):</w:t>
      </w:r>
      <w:r w:rsidRPr="0087390D">
        <w:rPr>
          <w:rFonts w:ascii="Open Sans" w:eastAsia="Times New Roman" w:hAnsi="Open Sans" w:cs="Times New Roman"/>
          <w:color w:val="000000"/>
          <w:sz w:val="21"/>
          <w:szCs w:val="21"/>
        </w:rPr>
        <w:t> Giữ cố định mẫu theo đúng các vị trí cần phân tích</w:t>
      </w:r>
    </w:p>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Que khuấy mẫu:</w:t>
      </w:r>
    </w:p>
    <w:tbl>
      <w:tblPr>
        <w:tblpPr w:leftFromText="180" w:rightFromText="180" w:vertAnchor="text" w:horzAnchor="page" w:tblpX="1" w:tblpY="611"/>
        <w:tblW w:w="18960" w:type="dxa"/>
        <w:shd w:val="clear" w:color="auto" w:fill="FFFFFF"/>
        <w:tblCellMar>
          <w:top w:w="15" w:type="dxa"/>
          <w:left w:w="15" w:type="dxa"/>
          <w:bottom w:w="15" w:type="dxa"/>
          <w:right w:w="15" w:type="dxa"/>
        </w:tblCellMar>
        <w:tblLook w:val="04A0" w:firstRow="1" w:lastRow="0" w:firstColumn="1" w:lastColumn="0" w:noHBand="0" w:noVBand="1"/>
      </w:tblPr>
      <w:tblGrid>
        <w:gridCol w:w="4740"/>
        <w:gridCol w:w="4740"/>
        <w:gridCol w:w="4740"/>
        <w:gridCol w:w="4740"/>
      </w:tblGrid>
      <w:tr w:rsidR="0087390D" w:rsidRPr="0087390D" w:rsidTr="0087390D">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7898A7BF" wp14:editId="13685010">
                  <wp:extent cx="2857500" cy="2857500"/>
                  <wp:effectExtent l="0" t="0" r="0" b="0"/>
                  <wp:docPr id="14" name="Picture 14" descr="Khuôn nhựa đúc mẫu nguội chỉ dùng một l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ôn nhựa đúc mẫu nguội chỉ dùng một lầ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23D42B17" wp14:editId="1D85CA74">
                  <wp:extent cx="2857500" cy="2857500"/>
                  <wp:effectExtent l="0" t="0" r="0" b="0"/>
                  <wp:docPr id="13" name="Picture 13" descr="Khuôn đúc mẫu nguội bằng Sillicone - Sử dụng nhiều l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ôn đúc mẫu nguội bằng Sillicone - Sử dụng nhiều lầ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30B4875A" wp14:editId="18B95EEA">
                  <wp:extent cx="2857500" cy="2857500"/>
                  <wp:effectExtent l="0" t="0" r="0" b="0"/>
                  <wp:docPr id="12" name="Picture 12" descr="chất chống dính khuôn, chất tách khuôn, chất tráng khuô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ất chống dính khuôn, chất tách khuôn, chất tráng khuô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1A7AFAF8" wp14:editId="7AFACC44">
                  <wp:extent cx="2857500" cy="2857500"/>
                  <wp:effectExtent l="0" t="0" r="0" b="0"/>
                  <wp:docPr id="11" name="Picture 11" descr="https://lidinco.com/wp-content/uploads/2016/07/Khu%C3%B4n-nh%E1%BB%B1a-%C4%91%C3%BAc-m%E1%BA%ABu-ngu%E1%BB%99i-%C4%90%E1%BA%BF-r%E1%BB%9Di-2-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dinco.com/wp-content/uploads/2016/07/Khu%C3%B4n-nh%E1%BB%B1a-%C4%91%C3%BAc-m%E1%BA%ABu-ngu%E1%BB%99i-%C4%90%E1%BA%BF-r%E1%BB%9Di-2-300x3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r w:rsidR="0087390D" w:rsidRPr="0087390D" w:rsidTr="0087390D">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lastRenderedPageBreak/>
              <w:drawing>
                <wp:inline distT="0" distB="0" distL="0" distR="0" wp14:anchorId="027B342F" wp14:editId="4B8D9CB5">
                  <wp:extent cx="2598420" cy="2247900"/>
                  <wp:effectExtent l="0" t="0" r="0" b="0"/>
                  <wp:docPr id="10" name="Picture 10" descr="Đĩa sáp dán mẫu bề mặt ph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ĩa sáp dán mẫu bề mặt phẳ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22479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12C196FD" wp14:editId="27CA1A1D">
                  <wp:extent cx="2857500" cy="2857500"/>
                  <wp:effectExtent l="0" t="0" r="0" b="0"/>
                  <wp:docPr id="9" name="Picture 9" descr="Khuôn nhựa đúc mẫu nguội - Đế r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ôn nhựa đúc mẫu nguội - Đế rờ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0F5898D7" wp14:editId="54EC1C76">
                  <wp:extent cx="2857500" cy="2857500"/>
                  <wp:effectExtent l="0" t="0" r="0" b="0"/>
                  <wp:docPr id="8" name="Picture 8" descr="Sáp cố định mẫu - Mounting Wax 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áp cố định mẫu - Mounting Wax 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14:anchorId="010CC917" wp14:editId="628B323F">
                  <wp:extent cx="2857500" cy="2857500"/>
                  <wp:effectExtent l="0" t="0" r="0" b="0"/>
                  <wp:docPr id="7" name="Picture 7" descr="Đĩa sáp dán cố định mẫu - Mouting Wax 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ĩa sáp dán cố định mẫu - Mouting Wax Dis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bl>
    <w:p w:rsidR="0087390D" w:rsidRPr="0087390D" w:rsidRDefault="0087390D" w:rsidP="0087390D">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Keo cố định mẫu (Loc-Tite Sample Adhesives):</w:t>
      </w:r>
      <w:r w:rsidRPr="0087390D">
        <w:rPr>
          <w:rFonts w:ascii="Open Sans" w:eastAsia="Times New Roman" w:hAnsi="Open Sans" w:cs="Times New Roman"/>
          <w:color w:val="000000"/>
          <w:sz w:val="21"/>
          <w:szCs w:val="21"/>
        </w:rPr>
        <w:t> Thời gian đông đặc nhanh độ dính cao giúp cố định mẫu đúng vị trí hoặc không bị lơ lửng khi đổ keo Epoxy</w:t>
      </w:r>
    </w:p>
    <w:p w:rsidR="0087390D" w:rsidRPr="0087390D" w:rsidRDefault="0087390D" w:rsidP="0087390D">
      <w:pPr>
        <w:shd w:val="clear" w:color="auto" w:fill="FFFFFF"/>
        <w:spacing w:after="480" w:line="300" w:lineRule="atLeast"/>
        <w:outlineLvl w:val="1"/>
        <w:rPr>
          <w:rFonts w:ascii="Open Sans" w:eastAsia="Times New Roman" w:hAnsi="Open Sans" w:cs="Times New Roman"/>
          <w:color w:val="0088CC"/>
          <w:spacing w:val="-15"/>
          <w:sz w:val="24"/>
          <w:szCs w:val="24"/>
        </w:rPr>
      </w:pPr>
      <w:r w:rsidRPr="0087390D">
        <w:rPr>
          <w:rFonts w:ascii="Open Sans" w:eastAsia="Times New Roman" w:hAnsi="Open Sans" w:cs="Times New Roman"/>
          <w:b/>
          <w:bCs/>
          <w:color w:val="000000"/>
          <w:spacing w:val="-15"/>
          <w:sz w:val="36"/>
          <w:szCs w:val="36"/>
        </w:rPr>
        <w:t>Phụ kiện cho quá trình mài và đánh bóng</w:t>
      </w: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b/>
          <w:bCs/>
          <w:color w:val="000000"/>
          <w:sz w:val="21"/>
          <w:szCs w:val="21"/>
        </w:rPr>
        <w:t>Mài và đánh bóng</w:t>
      </w:r>
      <w:r w:rsidRPr="0087390D">
        <w:rPr>
          <w:rFonts w:ascii="Open Sans" w:eastAsia="Times New Roman" w:hAnsi="Open Sans" w:cs="Times New Roman"/>
          <w:color w:val="000000"/>
          <w:sz w:val="21"/>
          <w:szCs w:val="21"/>
        </w:rPr>
        <w:t> là quá trình đòi hỏi nhiều kĩ thuật nhất trong quá trình chuẩn bị mẫu. Trong quá trình này, nhiều loại vật liệu tiêu hao khác nhau được sử dụng như: dung dịch kim cương, dung dịch đánh bóng, bột kim cương, dầu mài, giấy mài, bánh mài…Do trong từng loại lại có nhiều loại nhỏ nên yêu cầu người thao tác phải sử dụng chính xác để đạt được hiệu quả cao và tiết kiệm thời gian nhất. Dưới đây là một số phụ kiện giúp quá trình mài và đánh bóng mẫu diễn ra thuận tiện hơn</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Vòng giữ giấy mài (Disc Holding Bands):</w:t>
      </w:r>
      <w:r w:rsidRPr="0087390D">
        <w:rPr>
          <w:rFonts w:ascii="Open Sans" w:eastAsia="Times New Roman" w:hAnsi="Open Sans" w:cs="Times New Roman"/>
          <w:color w:val="000000"/>
          <w:sz w:val="21"/>
          <w:szCs w:val="21"/>
        </w:rPr>
        <w:t> Làm bằng nhôm Anode hóa giúp cố định các loại giấy mài không dính trên các dạng bánh mài thông thường. Dễ dàng tháo lắp sau khi sử dụng, kích thước phù hợp với nhiều loại bánh mài khác nhau như 8″ – 10″ – 12″</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Đĩa dính hai mặt (Double Sided Adhesive Discs):</w:t>
      </w:r>
      <w:r w:rsidRPr="0087390D">
        <w:rPr>
          <w:rFonts w:ascii="Open Sans" w:eastAsia="Times New Roman" w:hAnsi="Open Sans" w:cs="Times New Roman"/>
          <w:color w:val="000000"/>
          <w:sz w:val="21"/>
          <w:szCs w:val="21"/>
        </w:rPr>
        <w:t> Trong trường hợp bạn sử dụng loại bánh mài thông thường và loại giấy mài không dính, đĩa dính hai mặt chính là công cụ hỗ trợ tốt nhất mà bạn có thể nghĩ tới. Với hai mặt dính bạn có thể dễ dàng dán một mặt lên bánh mài, một mặt lên giấy mài thông thường và thực hiện quá trình mài, đánh bóng bình thường như đang sử dụng “giấy mài dạng dán”. Loại đĩa dính hai mặt này có thể tái sử dụng từ 25 – 75 lần tùy thuộc vào quá trình sử dụng như: thời gian, chu kì, lực, dung dịch…</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Đĩa hỗ trợ không dán – từ (Ferromagnetic Ahdesive Discs):</w:t>
      </w:r>
      <w:r w:rsidRPr="0087390D">
        <w:rPr>
          <w:rFonts w:ascii="Open Sans" w:eastAsia="Times New Roman" w:hAnsi="Open Sans" w:cs="Times New Roman"/>
          <w:color w:val="000000"/>
          <w:sz w:val="21"/>
          <w:szCs w:val="21"/>
        </w:rPr>
        <w:t xml:space="preserve"> Trong trường hợp bạn chỉ có sẵn bánh mài dạng từ tính và giấy mài dạng không dán, loại đĩa hỗ trợ này là sẽ giúp bạn tiết kiệm nhiều chi </w:t>
      </w:r>
      <w:r w:rsidRPr="0087390D">
        <w:rPr>
          <w:rFonts w:ascii="Open Sans" w:eastAsia="Times New Roman" w:hAnsi="Open Sans" w:cs="Times New Roman"/>
          <w:color w:val="000000"/>
          <w:sz w:val="21"/>
          <w:szCs w:val="21"/>
        </w:rPr>
        <w:lastRenderedPageBreak/>
        <w:t>phí. Một mặt đĩa có khả năng hút với đĩa từ tính mặt còn lại được phủ một lớp keo dính để sử dụng với các loại giấy mài thông thường, đĩa có thể tái sử dụng từ 25 – 75 lần tùy vào tần suất sử dụng</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Đĩa hỗ trợ dán – từ (Ferromagnetic Support Discs):</w:t>
      </w:r>
      <w:r w:rsidRPr="0087390D">
        <w:rPr>
          <w:rFonts w:ascii="Open Sans" w:eastAsia="Times New Roman" w:hAnsi="Open Sans" w:cs="Times New Roman"/>
          <w:color w:val="000000"/>
          <w:sz w:val="21"/>
          <w:szCs w:val="21"/>
        </w:rPr>
        <w:t> Đây là loại đĩa hỗ trợ với một mặt từ và một mặt có độ phẳng tốt, sản phẩm hỗ trợ hoàn hảo trong trường hợp chỉ có loại bánh mài từ và giấy mài dạng dán</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Đĩa hỗ trợ dán – từ (PTFE Ferromagnetic Support Discs):</w:t>
      </w:r>
      <w:r w:rsidRPr="0087390D">
        <w:rPr>
          <w:rFonts w:ascii="Open Sans" w:eastAsia="Times New Roman" w:hAnsi="Open Sans" w:cs="Times New Roman"/>
          <w:color w:val="000000"/>
          <w:sz w:val="21"/>
          <w:szCs w:val="21"/>
        </w:rPr>
        <w:t> Tương tự như Ferromagnetic Ahdesive Discs nhưng độ bám dính cao hơn có thể sử dụng cho mài thô</w:t>
      </w:r>
    </w:p>
    <w:p w:rsidR="0087390D" w:rsidRPr="0087390D" w:rsidRDefault="0087390D" w:rsidP="0087390D">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87390D">
        <w:rPr>
          <w:rFonts w:ascii="Open Sans" w:eastAsia="Times New Roman" w:hAnsi="Open Sans" w:cs="Times New Roman"/>
          <w:i/>
          <w:iCs/>
          <w:color w:val="008000"/>
          <w:sz w:val="21"/>
          <w:szCs w:val="21"/>
        </w:rPr>
        <w:t>Đĩa từ (Magnetic Bases):</w:t>
      </w:r>
      <w:r w:rsidRPr="0087390D">
        <w:rPr>
          <w:rFonts w:ascii="Open Sans" w:eastAsia="Times New Roman" w:hAnsi="Open Sans" w:cs="Times New Roman"/>
          <w:color w:val="000000"/>
          <w:sz w:val="21"/>
          <w:szCs w:val="21"/>
        </w:rPr>
        <w:t> Giúp biến bánh mài thông thường của bạn thành một chiếc bánh mài từ tính và có thể sử dụng thoải mái với các dạng vải đánh bóng/đĩa mài từ</w:t>
      </w:r>
    </w:p>
    <w:tbl>
      <w:tblPr>
        <w:tblW w:w="1422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4740"/>
        <w:gridCol w:w="4740"/>
        <w:gridCol w:w="4740"/>
      </w:tblGrid>
      <w:tr w:rsidR="0087390D" w:rsidRPr="0087390D" w:rsidTr="0087390D">
        <w:trPr>
          <w:trHeight w:val="4590"/>
        </w:trPr>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857500" cy="2857500"/>
                  <wp:effectExtent l="0" t="0" r="0" b="0"/>
                  <wp:docPr id="6" name="Picture 6" descr="https://lidinco.com/wp-content/uploads/2016/07/V%C3%B2ng-gi%E1%BB%AF-gi%E1%BA%A5y-m%C3%A0i-cho-m%C3%A1y-%C4%91%C3%A1nh-b%C3%B3ng-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dinco.com/wp-content/uploads/2016/07/V%C3%B2ng-gi%E1%BB%AF-gi%E1%BA%A5y-m%C3%A0i-cho-m%C3%A1y-%C4%91%C3%A1nh-b%C3%B3ng-300x3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857500" cy="2857500"/>
                  <wp:effectExtent l="0" t="0" r="0" b="0"/>
                  <wp:docPr id="5" name="Picture 5" descr="Vòng cố định giấy mài, đĩa mài cho quá trình lapping pol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òng cố định giấy mài, đĩa mài cho quá trình lapping polish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857500" cy="2857500"/>
                  <wp:effectExtent l="0" t="0" r="0" b="0"/>
                  <wp:docPr id="4" name="Picture 4" descr="Double Sides Adhesive Di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uble Sides Adhesive Dis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r w:rsidR="0087390D" w:rsidRPr="0087390D" w:rsidTr="0087390D">
        <w:trPr>
          <w:trHeight w:val="345"/>
        </w:trPr>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lastRenderedPageBreak/>
              <w:drawing>
                <wp:inline distT="0" distB="0" distL="0" distR="0">
                  <wp:extent cx="2857500" cy="2857500"/>
                  <wp:effectExtent l="0" t="0" r="0" b="0"/>
                  <wp:docPr id="3" name="Picture 3" descr="Double Sides Adhesive Dis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uble Sides Adhesive Discs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857500" cy="2857500"/>
                  <wp:effectExtent l="0" t="0" r="0" b="0"/>
                  <wp:docPr id="2" name="Picture 2" descr="https://lidinco.com/wp-content/uploads/2016/07/%C4%90%C4%A9a-h%E1%BB%97-tr%E1%BB%A3-d%C3%A1n-t%E1%BB%AB-PTFE-Ferromagnetic-Support-Disc-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dinco.com/wp-content/uploads/2016/07/%C4%90%C4%A9a-h%E1%BB%97-tr%E1%BB%A3-d%C3%A1n-t%E1%BB%AB-PTFE-Ferromagnetic-Support-Disc-300x30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4740" w:type="dxa"/>
            <w:shd w:val="clear" w:color="auto" w:fill="FFFFFF"/>
            <w:tcMar>
              <w:top w:w="120" w:type="dxa"/>
              <w:left w:w="120" w:type="dxa"/>
              <w:bottom w:w="120" w:type="dxa"/>
              <w:right w:w="120" w:type="dxa"/>
            </w:tcMar>
            <w:vAlign w:val="center"/>
            <w:hideMark/>
          </w:tcPr>
          <w:p w:rsidR="0087390D" w:rsidRPr="0087390D" w:rsidRDefault="0087390D" w:rsidP="0087390D">
            <w:pPr>
              <w:spacing w:after="0" w:line="240" w:lineRule="auto"/>
              <w:rPr>
                <w:rFonts w:ascii="Open Sans" w:eastAsia="Times New Roman" w:hAnsi="Open Sans" w:cs="Times New Roman"/>
                <w:color w:val="777777"/>
                <w:sz w:val="21"/>
                <w:szCs w:val="21"/>
              </w:rPr>
            </w:pPr>
            <w:r w:rsidRPr="0087390D">
              <w:rPr>
                <w:rFonts w:ascii="Open Sans" w:eastAsia="Times New Roman" w:hAnsi="Open Sans" w:cs="Times New Roman"/>
                <w:noProof/>
                <w:color w:val="000000"/>
                <w:sz w:val="21"/>
                <w:szCs w:val="21"/>
              </w:rPr>
              <w:drawing>
                <wp:inline distT="0" distB="0" distL="0" distR="0">
                  <wp:extent cx="2857500" cy="2857500"/>
                  <wp:effectExtent l="0" t="0" r="0" b="0"/>
                  <wp:docPr id="1" name="Picture 1" descr="Đĩa dán từ hỗ trợ giấy mài và đĩa t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ĩa dán từ hỗ trợ giấy mài và đĩa từ"/>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bl>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color w:val="000000"/>
          <w:sz w:val="21"/>
          <w:szCs w:val="21"/>
        </w:rPr>
        <w:t>Trên đây là một số phụ kiện hỗ trợ rất tốt cho quá trình chuẩn bị và phân tích kim tương đến từ thương hiệu Allied High Tech của Mỹ. Để được tư vấn chọn các sản phẩm phù hợp nhất bạn vui lòng liên hệ trực tiếp đến Lidinco để được hỗ trợ tốt nhất</w:t>
      </w:r>
    </w:p>
    <w:p w:rsidR="0087390D" w:rsidRPr="0087390D" w:rsidRDefault="0087390D" w:rsidP="0087390D">
      <w:pPr>
        <w:shd w:val="clear" w:color="auto" w:fill="FFFFFF"/>
        <w:spacing w:after="300" w:line="360" w:lineRule="atLeast"/>
        <w:rPr>
          <w:rFonts w:ascii="Open Sans" w:eastAsia="Times New Roman" w:hAnsi="Open Sans" w:cs="Times New Roman"/>
          <w:color w:val="777777"/>
          <w:sz w:val="21"/>
          <w:szCs w:val="21"/>
        </w:rPr>
      </w:pPr>
      <w:r w:rsidRPr="0087390D">
        <w:rPr>
          <w:rFonts w:ascii="Open Sans" w:eastAsia="Times New Roman" w:hAnsi="Open Sans" w:cs="Times New Roman"/>
          <w:color w:val="FF0000"/>
          <w:sz w:val="21"/>
          <w:szCs w:val="21"/>
        </w:rPr>
        <w:t>*Để tham khảo chi tiết các sản phẩm trên bạn vui lòng coppy phần tên sản phẩm tiếng anh hoặc tiếng việt và dán vào thanh tìm kiểm của Lidinco</w:t>
      </w:r>
    </w:p>
    <w:p w:rsidR="00704BA8" w:rsidRDefault="0087390D" w:rsidP="00A13071">
      <w:pPr>
        <w:spacing w:before="100" w:beforeAutospacing="1" w:after="100" w:afterAutospacing="1" w:line="240" w:lineRule="auto"/>
      </w:pPr>
      <w:r>
        <w:t>Thông tin liên hệ</w:t>
      </w:r>
    </w:p>
    <w:p w:rsidR="0087390D" w:rsidRPr="0087390D" w:rsidRDefault="0087390D" w:rsidP="0087390D">
      <w:pPr>
        <w:shd w:val="clear" w:color="auto" w:fill="FFFFFF"/>
        <w:spacing w:after="75" w:line="240" w:lineRule="auto"/>
        <w:textAlignment w:val="center"/>
        <w:rPr>
          <w:rFonts w:ascii="Open Sans" w:eastAsia="Times New Roman" w:hAnsi="Open Sans" w:cs="Times New Roman"/>
          <w:color w:val="1E73BE"/>
          <w:sz w:val="32"/>
          <w:szCs w:val="32"/>
        </w:rPr>
      </w:pPr>
      <w:r w:rsidRPr="0087390D">
        <w:rPr>
          <w:rFonts w:ascii="Open Sans" w:eastAsia="Times New Roman" w:hAnsi="Open Sans" w:cs="Times New Roman"/>
          <w:b/>
          <w:bCs/>
          <w:color w:val="1E73BE"/>
          <w:sz w:val="32"/>
          <w:szCs w:val="32"/>
        </w:rPr>
        <w:t>CÔNG TY TNHH ĐẦU TƯ PHÁT TRIỂN CUỘC SỐNG</w:t>
      </w:r>
      <w:r w:rsidRPr="0087390D">
        <w:rPr>
          <w:rFonts w:ascii="Open Sans" w:eastAsia="Times New Roman" w:hAnsi="Open Sans" w:cs="Times New Roman"/>
          <w:color w:val="1E73BE"/>
          <w:sz w:val="32"/>
          <w:szCs w:val="32"/>
        </w:rPr>
        <w:br/>
        <w:t>028 3977 8269 / 028 3601 6797 </w:t>
      </w:r>
      <w:r w:rsidRPr="0087390D">
        <w:rPr>
          <w:rFonts w:ascii="Open Sans" w:eastAsia="Times New Roman" w:hAnsi="Open Sans" w:cs="Times New Roman"/>
          <w:color w:val="1E73BE"/>
          <w:sz w:val="32"/>
          <w:szCs w:val="32"/>
        </w:rPr>
        <w:br/>
        <w:t xml:space="preserve">Email: </w:t>
      </w:r>
      <w:hyperlink r:id="rId25" w:history="1">
        <w:r w:rsidRPr="00264441">
          <w:rPr>
            <w:rStyle w:val="Hyperlink"/>
            <w:rFonts w:ascii="Open Sans" w:eastAsia="Times New Roman" w:hAnsi="Open Sans" w:cs="Times New Roman"/>
            <w:sz w:val="32"/>
            <w:szCs w:val="32"/>
          </w:rPr>
          <w:t>sales@lidinco.com</w:t>
        </w:r>
      </w:hyperlink>
      <w:r>
        <w:rPr>
          <w:rFonts w:ascii="Open Sans" w:eastAsia="Times New Roman" w:hAnsi="Open Sans" w:cs="Times New Roman"/>
          <w:color w:val="1E73BE"/>
          <w:sz w:val="32"/>
          <w:szCs w:val="32"/>
        </w:rPr>
        <w:t xml:space="preserve">  Website: </w:t>
      </w:r>
      <w:hyperlink r:id="rId26" w:history="1">
        <w:r w:rsidRPr="0087390D">
          <w:rPr>
            <w:rStyle w:val="Hyperlink"/>
            <w:rFonts w:ascii="Open Sans" w:eastAsia="Times New Roman" w:hAnsi="Open Sans" w:cs="Times New Roman"/>
            <w:sz w:val="32"/>
            <w:szCs w:val="32"/>
          </w:rPr>
          <w:t>https://lidinco.com/</w:t>
        </w:r>
      </w:hyperlink>
      <w:bookmarkStart w:id="0" w:name="_GoBack"/>
      <w:bookmarkEnd w:id="0"/>
      <w:r w:rsidRPr="0087390D">
        <w:rPr>
          <w:rFonts w:ascii="Open Sans" w:eastAsia="Times New Roman" w:hAnsi="Open Sans" w:cs="Times New Roman"/>
          <w:color w:val="1E73BE"/>
          <w:sz w:val="32"/>
          <w:szCs w:val="32"/>
        </w:rPr>
        <w:br/>
        <w:t>14 Thiên Phước, Phường 9, Quận Tân Bình, Tp.HCM, Việt Nam</w:t>
      </w:r>
    </w:p>
    <w:p w:rsidR="0087390D" w:rsidRPr="00627B3F" w:rsidRDefault="0087390D" w:rsidP="00A13071">
      <w:pPr>
        <w:spacing w:before="100" w:beforeAutospacing="1" w:after="100" w:afterAutospacing="1" w:line="240" w:lineRule="auto"/>
      </w:pPr>
    </w:p>
    <w:sectPr w:rsidR="0087390D" w:rsidRPr="0062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74EAC"/>
    <w:multiLevelType w:val="multilevel"/>
    <w:tmpl w:val="DF3A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F355D"/>
    <w:multiLevelType w:val="multilevel"/>
    <w:tmpl w:val="CE9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619A6"/>
    <w:multiLevelType w:val="multilevel"/>
    <w:tmpl w:val="66A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A2550"/>
    <w:multiLevelType w:val="multilevel"/>
    <w:tmpl w:val="5D0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A78D0"/>
    <w:multiLevelType w:val="multilevel"/>
    <w:tmpl w:val="1EE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D1A2D"/>
    <w:multiLevelType w:val="multilevel"/>
    <w:tmpl w:val="A76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D3883"/>
    <w:multiLevelType w:val="multilevel"/>
    <w:tmpl w:val="647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9197F"/>
    <w:multiLevelType w:val="multilevel"/>
    <w:tmpl w:val="8360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E631C"/>
    <w:multiLevelType w:val="multilevel"/>
    <w:tmpl w:val="101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6"/>
  </w:num>
  <w:num w:numId="5">
    <w:abstractNumId w:val="2"/>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A6"/>
    <w:rsid w:val="001013F8"/>
    <w:rsid w:val="005F38BE"/>
    <w:rsid w:val="00627B3F"/>
    <w:rsid w:val="00704BA8"/>
    <w:rsid w:val="00826CA6"/>
    <w:rsid w:val="0087390D"/>
    <w:rsid w:val="008C27D5"/>
    <w:rsid w:val="00983452"/>
    <w:rsid w:val="00A13071"/>
    <w:rsid w:val="00A1452D"/>
    <w:rsid w:val="00B34713"/>
    <w:rsid w:val="00C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B0EB7-3AAF-414D-BC2F-014FB0E9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390D"/>
    <w:rPr>
      <w:rFonts w:ascii="Times New Roman" w:eastAsia="Times New Roman" w:hAnsi="Times New Roman" w:cs="Times New Roman"/>
      <w:b/>
      <w:bCs/>
      <w:sz w:val="36"/>
      <w:szCs w:val="36"/>
    </w:rPr>
  </w:style>
  <w:style w:type="character" w:styleId="Strong">
    <w:name w:val="Strong"/>
    <w:basedOn w:val="DefaultParagraphFont"/>
    <w:uiPriority w:val="22"/>
    <w:qFormat/>
    <w:rsid w:val="0087390D"/>
    <w:rPr>
      <w:b/>
      <w:bCs/>
    </w:rPr>
  </w:style>
  <w:style w:type="character" w:styleId="Emphasis">
    <w:name w:val="Emphasis"/>
    <w:basedOn w:val="DefaultParagraphFont"/>
    <w:uiPriority w:val="20"/>
    <w:qFormat/>
    <w:rsid w:val="0087390D"/>
    <w:rPr>
      <w:i/>
      <w:iCs/>
    </w:rPr>
  </w:style>
  <w:style w:type="character" w:styleId="Hyperlink">
    <w:name w:val="Hyperlink"/>
    <w:basedOn w:val="DefaultParagraphFont"/>
    <w:uiPriority w:val="99"/>
    <w:unhideWhenUsed/>
    <w:rsid w:val="0087390D"/>
    <w:rPr>
      <w:color w:val="0000FF"/>
      <w:u w:val="single"/>
    </w:rPr>
  </w:style>
  <w:style w:type="character" w:customStyle="1" w:styleId="gap">
    <w:name w:val="gap"/>
    <w:basedOn w:val="DefaultParagraphFont"/>
    <w:rsid w:val="0087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7879">
      <w:bodyDiv w:val="1"/>
      <w:marLeft w:val="0"/>
      <w:marRight w:val="0"/>
      <w:marTop w:val="0"/>
      <w:marBottom w:val="0"/>
      <w:divBdr>
        <w:top w:val="none" w:sz="0" w:space="0" w:color="auto"/>
        <w:left w:val="none" w:sz="0" w:space="0" w:color="auto"/>
        <w:bottom w:val="none" w:sz="0" w:space="0" w:color="auto"/>
        <w:right w:val="none" w:sz="0" w:space="0" w:color="auto"/>
      </w:divBdr>
    </w:div>
    <w:div w:id="554389437">
      <w:bodyDiv w:val="1"/>
      <w:marLeft w:val="0"/>
      <w:marRight w:val="0"/>
      <w:marTop w:val="0"/>
      <w:marBottom w:val="0"/>
      <w:divBdr>
        <w:top w:val="none" w:sz="0" w:space="0" w:color="auto"/>
        <w:left w:val="none" w:sz="0" w:space="0" w:color="auto"/>
        <w:bottom w:val="none" w:sz="0" w:space="0" w:color="auto"/>
        <w:right w:val="none" w:sz="0" w:space="0" w:color="auto"/>
      </w:divBdr>
    </w:div>
    <w:div w:id="1661543345">
      <w:bodyDiv w:val="1"/>
      <w:marLeft w:val="0"/>
      <w:marRight w:val="0"/>
      <w:marTop w:val="0"/>
      <w:marBottom w:val="0"/>
      <w:divBdr>
        <w:top w:val="none" w:sz="0" w:space="0" w:color="auto"/>
        <w:left w:val="none" w:sz="0" w:space="0" w:color="auto"/>
        <w:bottom w:val="none" w:sz="0" w:space="0" w:color="auto"/>
        <w:right w:val="none" w:sz="0" w:space="0" w:color="auto"/>
      </w:divBdr>
    </w:div>
    <w:div w:id="1972595207">
      <w:bodyDiv w:val="1"/>
      <w:marLeft w:val="0"/>
      <w:marRight w:val="0"/>
      <w:marTop w:val="0"/>
      <w:marBottom w:val="0"/>
      <w:divBdr>
        <w:top w:val="none" w:sz="0" w:space="0" w:color="auto"/>
        <w:left w:val="none" w:sz="0" w:space="0" w:color="auto"/>
        <w:bottom w:val="none" w:sz="0" w:space="0" w:color="auto"/>
        <w:right w:val="none" w:sz="0" w:space="0" w:color="auto"/>
      </w:divBdr>
      <w:divsChild>
        <w:div w:id="23732418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lidinco.com/"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mailto:sales@lidinco.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lidinco.com/quy-trinh-va-thiet-bi-chuan-bi-mau-cho-phan-tich-kim-tuong/"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hyperlink" Target="https://lidinco.com/phu-kien-qua-trinh-chuan-bi-mau/"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hyperlink" Target="https://lidinco.com/sp/duc-mau-nong/"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Duy</dc:creator>
  <cp:keywords/>
  <dc:description/>
  <cp:lastModifiedBy>Anh Duy</cp:lastModifiedBy>
  <cp:revision>9</cp:revision>
  <dcterms:created xsi:type="dcterms:W3CDTF">2019-05-29T10:28:00Z</dcterms:created>
  <dcterms:modified xsi:type="dcterms:W3CDTF">2019-06-05T10:33:00Z</dcterms:modified>
</cp:coreProperties>
</file>