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7920" w:type="dxa"/>
        <w:tblInd w:w="262" w:type="dxa"/>
        <w:tblBorders>
          <w:top w:val="nil"/>
          <w:left w:val="nil"/>
          <w:bottom w:val="nil"/>
          <w:right w:val="nil"/>
          <w:insideH w:val="nil"/>
          <w:insideV w:val="nil"/>
        </w:tblBorders>
        <w:tblLayout w:type="fixed"/>
      </w:tblPr>
      <w:tblGrid>
        <w:gridCol w:w="2880"/>
        <w:gridCol w:w="5040"/>
      </w:tblGrid>
      <w:tr>
        <w:tc>
          <w:tcPr>
            <w:tcW w:w="2880" w:type="dxa"/>
          </w:tcPr>
          <w:p>
            <w:r>
              <w:rPr>
                <w:rFonts w:ascii="Times New Roman" w:hAnsi="Times New Roman"/>
                <w:color w:val="FFFFFF"/>
                <w:sz w:val="20"/>
              </w:rPr>
              <w:t xml:space="preserve">The Project:</w:t>
            </w:r>
          </w:p>
        </w:tc>
        <w:tc>
          <w:tcPr>
            <w:tcW w:w="5040" w:type="dxa"/>
          </w:tcPr>
          <w:p>
            <w:r>
              <w:rPr>
                <w:rFonts w:ascii="Times New Roman" w:hAnsi="Times New Roman"/>
                <w:color w:val="FFFFFF"/>
                <w:sz w:val="20"/>
              </w:rPr>
              <w:t xml:space="preserve">{{F06}}</w:t>
            </w:r>
          </w:p>
        </w:tc>
      </w:tr>
      <w:tr>
        <w:tc>
          <w:tcPr>
            <w:tcW w:w="2880" w:type="dxa"/>
          </w:tcPr>
          <w:p>
            <w:r>
              <w:rPr>
                <w:rFonts w:ascii="Times New Roman" w:hAnsi="Times New Roman"/>
                <w:color w:val="FFFFFF"/>
                <w:sz w:val="20"/>
              </w:rPr>
              <w:t xml:space="preserve">Subcontractor Name:</w:t>
            </w:r>
          </w:p>
        </w:tc>
        <w:tc>
          <w:tcPr>
            <w:tcW w:w="5040" w:type="dxa"/>
          </w:tcPr>
          <w:p>
            <w:r>
              <w:rPr>
                <w:rFonts w:ascii="Times New Roman" w:hAnsi="Times New Roman"/>
                <w:color w:val="FFFFFF"/>
                <w:sz w:val="20"/>
              </w:rPr>
              <w:t xml:space="preserve">{{F02}}</w:t>
            </w:r>
          </w:p>
        </w:tc>
      </w:tr>
      <w:tr>
        <w:tc>
          <w:tcPr>
            <w:tcW w:w="2880" w:type="dxa"/>
          </w:tcPr>
          <w:p>
            <w:r>
              <w:rPr>
                <w:rFonts w:ascii="Times New Roman" w:hAnsi="Times New Roman"/>
                <w:color w:val="FFFFFF"/>
                <w:sz w:val="20"/>
              </w:rPr>
              <w:t xml:space="preserve">Scope Title:</w:t>
            </w:r>
          </w:p>
        </w:tc>
        <w:tc>
          <w:tcPr>
            <w:tcW w:w="5040" w:type="dxa"/>
          </w:tcPr>
          <w:p>
            <w:r>
              <w:rPr>
                <w:rFonts w:ascii="Times New Roman" w:hAnsi="Times New Roman"/>
                <w:color w:val="FFFFFF"/>
                <w:sz w:val="20"/>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Marina</w:t>
            </w:r>
            <w:r>
              <w:rPr>
                <w:spacing w:val="-15"/>
                <w:w w:val="105"/>
                <w:sz w:val="20"/>
              </w:rPr>
              <w:t xml:space="preserve"> </w:t>
            </w:r>
            <w:r>
              <w:rPr>
                <w:w w:val="105"/>
                <w:sz w:val="20"/>
              </w:rPr>
              <w:t>Tower</w:t>
            </w:r>
            <w:r>
              <w:rPr>
                <w:spacing w:val="-14"/>
                <w:w w:val="105"/>
                <w:sz w:val="20"/>
              </w:rPr>
              <w:t xml:space="preserve"> </w:t>
            </w:r>
            <w:r>
              <w:rPr>
                <w:w w:val="105"/>
                <w:sz w:val="20"/>
              </w:rPr>
              <w:t>Phase</w:t>
            </w:r>
            <w:r>
              <w:rPr>
                <w:spacing w:val="-14"/>
                <w:w w:val="105"/>
                <w:sz w:val="20"/>
              </w:rPr>
              <w:t xml:space="preserve"> </w:t>
            </w:r>
            <w:r>
              <w:rPr>
                <w:spacing w:val="-5"/>
                <w:w w:val="105"/>
                <w:sz w:val="20"/>
              </w:rPr>
              <w:t>II</w:t>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rPr>
                <w:b/>
                <w:sz w:val="20"/>
              </w:rPr>
            </w:pPr>
            <w:r>
              <w:rPr>
                <w:b/>
                <w:w w:val="105"/>
                <w:sz w:val="20"/>
              </w:rPr>
              <w:t>The Main Contractor Address</w:t>
              <w:br/>
              <w:t>{{A05}}</w:t>
            </w:r>
            <w:r>
              <w:rPr>
                <w:b/>
                <w:spacing w:val="-12"/>
                <w:w w:val="105"/>
                <w:sz w:val="20"/>
              </w:rPr>
            </w:r>
            <w:r>
              <w:rPr>
                <w:b/>
                <w:w w:val="105"/>
                <w:sz w:val="20"/>
              </w:rPr>
            </w:r>
            <w:r>
              <w:rPr>
                <w:b/>
                <w:spacing w:val="-11"/>
                <w:w w:val="105"/>
                <w:sz w:val="20"/>
              </w:rPr>
            </w:r>
            <w:r>
              <w:rPr>
                <w:b/>
                <w:w w:val="105"/>
                <w:sz w:val="20"/>
              </w:rPr>
            </w:r>
            <w:r>
              <w:rPr>
                <w:b/>
                <w:spacing w:val="-11"/>
                <w:w w:val="105"/>
                <w:sz w:val="20"/>
              </w:rPr>
            </w:r>
            <w:r>
              <w:rPr>
                <w:b/>
                <w:spacing w:val="-2"/>
                <w:w w:val="105"/>
                <w:sz w:val="20"/>
              </w:rPr>
            </w:r>
          </w:p>
        </w:tc>
      </w:tr>
      <w:tr>
        <w:trPr>
          <w:trHeight w:val="462"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188" w:after="0"/>
              <w:rPr>
                <w:b/>
                <w:sz w:val="20"/>
              </w:rPr>
            </w:pPr>
            <w:r>
              <w:rPr>
                <w:b/>
                <w:sz w:val="20"/>
              </w:rPr>
              <w:t>The Subcontractor Address</w:t>
              <w:br/>
              <w:t>{{A06}}</w:t>
            </w:r>
            <w:r>
              <w:rPr>
                <w:b/>
                <w:spacing w:val="18"/>
                <w:sz w:val="20"/>
              </w:rPr>
            </w:r>
            <w:r>
              <w:rPr>
                <w:b/>
                <w:sz w:val="20"/>
              </w:rPr>
            </w:r>
            <w:r>
              <w:rPr>
                <w:b/>
                <w:spacing w:val="17"/>
                <w:sz w:val="20"/>
              </w:rPr>
            </w:r>
            <w:r>
              <w:rPr>
                <w:b/>
                <w:spacing w:val="-2"/>
                <w:sz w:val="20"/>
              </w:rPr>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Project: {{A16}}</w:t>
              <w:br/>
              <w:t>Time for Completion of the Subcontract Works: {{A17}}</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{{C11}}</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sz w:val="20"/>
              </w:rPr>
              <w:t>Maximum</w:t>
            </w:r>
            <w:r>
              <w:rPr>
                <w:spacing w:val="14"/>
                <w:sz w:val="20"/>
              </w:rPr>
              <w:t xml:space="preserve"> </w:t>
            </w:r>
            <w:r>
              <w:rPr>
                <w:sz w:val="20"/>
              </w:rPr>
              <w:t>Liquidated</w:t>
            </w:r>
            <w:r>
              <w:rPr>
                <w:spacing w:val="21"/>
                <w:sz w:val="20"/>
              </w:rPr>
              <w:t xml:space="preserve"> </w:t>
            </w:r>
            <w:r>
              <w:rPr>
                <w:spacing w:val="-2"/>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sz w:val="20"/>
              </w:rPr>
            </w:pPr>
            <w:r>
              <w:rPr>
                <w:w w:val="105"/>
                <w:sz w:val="20"/>
              </w:rPr>
              <w:t>{{A21}}% of the Contract Price</w:t>
              <w:br/>
              <w:t>{{A21_AMOUNT}} AED</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36" w:after="0"/>
              <w:ind w:left="108" w:right="546"/>
              <w:rPr>
                <w:i/>
                <w:i/>
                <w:sz w:val="23"/>
              </w:rPr>
            </w:pPr>
            <w:r>
              <w:rPr>
                <w:i/>
                <w:spacing w:val="-8"/>
                <w:sz w:val="23"/>
              </w:rPr>
              <w:t>Time</w:t>
            </w:r>
            <w:r>
              <w:rPr>
                <w:i/>
                <w:spacing w:val="-10"/>
                <w:sz w:val="23"/>
              </w:rPr>
              <w:t xml:space="preserve"> </w:t>
            </w:r>
            <w:r>
              <w:rPr>
                <w:i/>
                <w:spacing w:val="-8"/>
                <w:sz w:val="23"/>
              </w:rPr>
              <w:t>to</w:t>
            </w:r>
            <w:r>
              <w:rPr>
                <w:i/>
                <w:spacing w:val="-10"/>
                <w:sz w:val="23"/>
              </w:rPr>
              <w:t xml:space="preserve"> </w:t>
            </w:r>
            <w:r>
              <w:rPr>
                <w:i/>
                <w:spacing w:val="-8"/>
                <w:sz w:val="23"/>
              </w:rPr>
              <w:t>submit</w:t>
            </w:r>
            <w:r>
              <w:rPr>
                <w:i/>
                <w:spacing w:val="-10"/>
                <w:sz w:val="23"/>
              </w:rPr>
              <w:t xml:space="preserve"> </w:t>
            </w:r>
            <w:r>
              <w:rPr>
                <w:i/>
                <w:spacing w:val="-8"/>
                <w:sz w:val="23"/>
              </w:rPr>
              <w:t>the</w:t>
            </w:r>
            <w:r>
              <w:rPr>
                <w:i/>
                <w:spacing w:val="-10"/>
                <w:sz w:val="23"/>
              </w:rPr>
              <w:t xml:space="preserve"> </w:t>
            </w:r>
            <w:r>
              <w:rPr>
                <w:i/>
                <w:spacing w:val="-8"/>
                <w:sz w:val="23"/>
              </w:rPr>
              <w:t>Copies</w:t>
            </w:r>
            <w:r>
              <w:rPr>
                <w:i/>
                <w:spacing w:val="-10"/>
                <w:sz w:val="23"/>
              </w:rPr>
              <w:t xml:space="preserve"> </w:t>
            </w:r>
            <w:r>
              <w:rPr>
                <w:i/>
                <w:spacing w:val="-8"/>
                <w:sz w:val="23"/>
              </w:rPr>
              <w:t>of</w:t>
            </w:r>
            <w:r>
              <w:rPr>
                <w:i/>
                <w:spacing w:val="-10"/>
                <w:sz w:val="23"/>
              </w:rPr>
              <w:t xml:space="preserve"> </w:t>
            </w:r>
            <w:r>
              <w:rPr>
                <w:i/>
                <w:spacing w:val="-8"/>
                <w:sz w:val="23"/>
              </w:rPr>
              <w:t xml:space="preserve">the </w:t>
            </w:r>
            <w:r>
              <w:rPr>
                <w:i/>
                <w:sz w:val="23"/>
              </w:rPr>
              <w:t>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sz w:val="20"/>
              </w:rPr>
              <w:t>{{A22}}</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highlight w:val="yellow"/>
        </w:rPr>
        <w:t>Supply,</w:t>
      </w:r>
      <w:r>
        <w:rPr>
          <w:color w:val="000000"/>
          <w:spacing w:val="-8"/>
          <w:highlight w:val="yellow"/>
        </w:rPr>
        <w:t xml:space="preserve"> </w:t>
      </w:r>
      <w:r>
        <w:rPr>
          <w:color w:val="000000"/>
          <w:highlight w:val="yellow"/>
        </w:rPr>
        <w:t>fabrication,</w:t>
      </w:r>
      <w:r>
        <w:rPr>
          <w:color w:val="000000"/>
          <w:spacing w:val="-7"/>
          <w:highlight w:val="yellow"/>
        </w:rPr>
        <w:t xml:space="preserve"> </w:t>
      </w:r>
      <w:r>
        <w:rPr>
          <w:color w:val="000000"/>
          <w:highlight w:val="yellow"/>
        </w:rPr>
        <w:t>surface</w:t>
      </w:r>
      <w:r>
        <w:rPr>
          <w:color w:val="000000"/>
          <w:spacing w:val="-7"/>
          <w:highlight w:val="yellow"/>
        </w:rPr>
        <w:t xml:space="preserve"> </w:t>
      </w:r>
      <w:r>
        <w:rPr>
          <w:color w:val="000000"/>
          <w:highlight w:val="yellow"/>
        </w:rPr>
        <w:t>treatment,</w:t>
      </w:r>
      <w:r>
        <w:rPr>
          <w:color w:val="000000"/>
          <w:spacing w:val="-7"/>
          <w:highlight w:val="yellow"/>
        </w:rPr>
        <w:t xml:space="preserve"> </w:t>
      </w:r>
      <w:r>
        <w:rPr>
          <w:color w:val="000000"/>
          <w:highlight w:val="yellow"/>
        </w:rPr>
        <w:t>transportation,</w:t>
      </w:r>
      <w:r>
        <w:rPr>
          <w:color w:val="000000"/>
          <w:spacing w:val="-7"/>
          <w:highlight w:val="yellow"/>
        </w:rPr>
        <w:t xml:space="preserve"> </w:t>
      </w:r>
      <w:r>
        <w:rPr>
          <w:color w:val="000000"/>
          <w:highlight w:val="yellow"/>
        </w:rPr>
        <w:t>and</w:t>
      </w:r>
      <w:r>
        <w:rPr>
          <w:color w:val="000000"/>
          <w:spacing w:val="-8"/>
          <w:highlight w:val="yellow"/>
        </w:rPr>
        <w:t xml:space="preserve"> </w:t>
      </w:r>
      <w:r>
        <w:rPr>
          <w:color w:val="000000"/>
          <w:highlight w:val="yellow"/>
        </w:rPr>
        <w:t>erection</w:t>
      </w:r>
      <w:r>
        <w:rPr>
          <w:color w:val="000000"/>
          <w:spacing w:val="-7"/>
          <w:highlight w:val="yellow"/>
        </w:rPr>
        <w:t xml:space="preserve"> </w:t>
      </w:r>
      <w:r>
        <w:rPr>
          <w:color w:val="000000"/>
          <w:highlight w:val="yellow"/>
        </w:rPr>
        <w:t>of</w:t>
      </w:r>
      <w:r>
        <w:rPr>
          <w:color w:val="000000"/>
          <w:spacing w:val="-7"/>
          <w:highlight w:val="yellow"/>
        </w:rPr>
        <w:t xml:space="preserve"> </w:t>
      </w:r>
      <w:r>
        <w:rPr>
          <w:color w:val="000000"/>
          <w:highlight w:val="yellow"/>
        </w:rPr>
        <w:t>all</w:t>
      </w:r>
      <w:r>
        <w:rPr>
          <w:color w:val="000000"/>
          <w:spacing w:val="-7"/>
          <w:highlight w:val="yellow"/>
        </w:rPr>
        <w:t xml:space="preserve"> </w:t>
      </w:r>
      <w:r>
        <w:rPr>
          <w:color w:val="000000"/>
          <w:highlight w:val="yellow"/>
        </w:rPr>
        <w:t>structural</w:t>
      </w:r>
      <w:r>
        <w:rPr>
          <w:color w:val="000000"/>
          <w:spacing w:val="-7"/>
          <w:highlight w:val="yellow"/>
        </w:rPr>
        <w:t xml:space="preserve"> </w:t>
      </w:r>
      <w:r>
        <w:rPr>
          <w:color w:val="000000"/>
          <w:highlight w:val="yellow"/>
        </w:rPr>
        <w:t>steel</w:t>
      </w:r>
      <w:r>
        <w:rPr>
          <w:color w:val="000000"/>
          <w:spacing w:val="-7"/>
          <w:highlight w:val="yellow"/>
        </w:rPr>
        <w:t xml:space="preserve"> </w:t>
      </w:r>
      <w:r>
        <w:rPr>
          <w:color w:val="000000"/>
          <w:spacing w:val="-2"/>
          <w:highlight w:val="yellow"/>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1" w:after="0"/>
        <w:ind w:left="1545" w:right="0"/>
        <w:rPr/>
      </w:pPr>
      <w:r>
        <w:rPr>
          <w:color w:val="000000"/>
          <w:w w:val="105"/>
          <w:highlight w:val="yellow"/>
        </w:rPr>
        <w:t>{{C02}}</w:t>
      </w:r>
      <w:r>
        <w:rPr>
          <w:color w:val="000000"/>
          <w:spacing w:val="-4"/>
          <w:w w:val="105"/>
          <w:highlight w:val="yellow"/>
        </w:rPr>
      </w:r>
      <w:r>
        <w:rPr>
          <w:color w:val="000000"/>
          <w:spacing w:val="-5"/>
          <w:w w:val="105"/>
          <w:highlight w:val="yellow"/>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Such advance payment shall be released by the Main Contractor to the Subcontractor after receiving all prerequisites above, and within {{C04}}</w:t>
      </w:r>
      <w:r>
        <w:rPr>
          <w:color w:val="000000"/>
          <w:w w:val="105"/>
          <w:sz w:val="18"/>
          <w:highlight w:val="yellow"/>
        </w:rPr>
      </w:r>
      <w:r>
        <w:rPr>
          <w:color w:val="EC0000"/>
          <w:w w:val="105"/>
          <w:sz w:val="18"/>
          <w:highlight w:val="yellow"/>
        </w:rPr>
      </w:r>
      <w:r>
        <w:rPr>
          <w:color w:val="000000"/>
          <w:w w:val="105"/>
          <w:sz w:val="18"/>
          <w:highlight w:val="yellow"/>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The Main Contractor shall pay the Subcontractor the amounts properly due under this Subcontract within {{C05}} days from the date of actual receipt by the Main Contractor of the corresponding payment from the Employer in respect of the Subcontract Works (back-to-back basis).</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First instalment (5%) to be released within {{C06}} days after:</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1" w:leader="none"/>
          <w:tab w:val="left" w:pos="3033" w:leader="none"/>
        </w:tabs>
        <w:spacing w:lineRule="auto" w:line="288" w:before="42" w:after="0"/>
        <w:ind w:hanging="339" w:left="3033" w:right="1782"/>
        <w:jc w:val="both"/>
        <w:rPr>
          <w:sz w:val="18"/>
        </w:rPr>
      </w:pPr>
      <w:r>
        <w:rPr>
          <w:w w:val="105"/>
          <w:sz w:val="18"/>
        </w:rPr>
        <w:t>The Main Contractor has received the corresponding payment from the Employer in respect of the Subcontract Work on back to back basis.</w:t>
      </w:r>
    </w:p>
    <w:p>
      <w:pPr>
        <w:pStyle w:val="ListParagraph"/>
        <w:numPr>
          <w:ilvl w:val="5"/>
          <w:numId w:val="48"/>
        </w:numPr>
        <w:tabs>
          <w:tab w:val="clear" w:pos="720"/>
          <w:tab w:val="left" w:pos="3028" w:leader="none"/>
          <w:tab w:val="left" w:pos="3033" w:leader="none"/>
        </w:tabs>
        <w:spacing w:lineRule="auto" w:line="280" w:before="2" w:after="0"/>
        <w:ind w:hanging="339" w:left="3033" w:right="1782"/>
        <w:jc w:val="both"/>
        <w:rPr>
          <w:sz w:val="18"/>
        </w:rPr>
      </w:pPr>
      <w:r>
        <w:rPr>
          <w:w w:val="105"/>
          <w:sz w:val="18"/>
        </w:rPr>
        <w:t>Completion of all Subcontract Works and rectification of all defects to the Satisfaction of the Main Contractor;</w:t>
      </w:r>
    </w:p>
    <w:p>
      <w:pPr>
        <w:pStyle w:val="ListParagraph"/>
        <w:numPr>
          <w:ilvl w:val="5"/>
          <w:numId w:val="48"/>
        </w:numPr>
        <w:tabs>
          <w:tab w:val="clear" w:pos="720"/>
          <w:tab w:val="left" w:pos="3027" w:leader="none"/>
          <w:tab w:val="left" w:pos="3033" w:leader="none"/>
        </w:tabs>
        <w:spacing w:lineRule="auto" w:line="288" w:before="4" w:after="0"/>
        <w:ind w:hanging="339" w:left="3033" w:right="1772"/>
        <w:jc w:val="both"/>
        <w:rPr>
          <w:sz w:val="18"/>
        </w:rPr>
      </w:pPr>
      <w:r>
        <w:rPr>
          <w:w w:val="105"/>
          <w:sz w:val="18"/>
        </w:rPr>
        <w:t>Submission of As-built drawings, original warranties, and all required close-out documentation, including material origin certificates, O&amp;M manuals, guarantees, warranty certificates, and the Taking-Over Certificate;</w:t>
      </w:r>
    </w:p>
    <w:p>
      <w:pPr>
        <w:pStyle w:val="ListParagraph"/>
        <w:numPr>
          <w:ilvl w:val="5"/>
          <w:numId w:val="48"/>
        </w:numPr>
        <w:tabs>
          <w:tab w:val="clear" w:pos="720"/>
          <w:tab w:val="left" w:pos="3029" w:leader="none"/>
        </w:tabs>
        <w:spacing w:lineRule="exact" w:line="215" w:before="0" w:after="0"/>
        <w:ind w:hanging="335" w:left="3029" w:right="0"/>
        <w:jc w:val="both"/>
        <w:rPr>
          <w:sz w:val="18"/>
        </w:rPr>
      </w:pPr>
      <w:r>
        <w:rPr>
          <w:w w:val="105"/>
          <w:sz w:val="18"/>
        </w:rPr>
        <w:t>Certification</w:t>
      </w:r>
      <w:r>
        <w:rPr>
          <w:spacing w:val="-4"/>
          <w:w w:val="105"/>
          <w:sz w:val="18"/>
        </w:rPr>
        <w:t xml:space="preserve"> </w:t>
      </w:r>
      <w:r>
        <w:rPr>
          <w:w w:val="105"/>
          <w:sz w:val="18"/>
        </w:rPr>
        <w:t>of</w:t>
      </w:r>
      <w:r>
        <w:rPr>
          <w:spacing w:val="-5"/>
          <w:w w:val="105"/>
          <w:sz w:val="18"/>
        </w:rPr>
        <w:t xml:space="preserve"> </w:t>
      </w:r>
      <w:r>
        <w:rPr>
          <w:w w:val="105"/>
          <w:sz w:val="18"/>
        </w:rPr>
        <w:t>completion</w:t>
      </w:r>
      <w:r>
        <w:rPr>
          <w:spacing w:val="-4"/>
          <w:w w:val="105"/>
          <w:sz w:val="18"/>
        </w:rPr>
        <w:t xml:space="preserve"> </w:t>
      </w:r>
      <w:r>
        <w:rPr>
          <w:w w:val="105"/>
          <w:sz w:val="18"/>
        </w:rPr>
        <w:t>and</w:t>
      </w:r>
      <w:r>
        <w:rPr>
          <w:spacing w:val="-6"/>
          <w:w w:val="105"/>
          <w:sz w:val="18"/>
        </w:rPr>
        <w:t xml:space="preserve"> </w:t>
      </w:r>
      <w:r>
        <w:rPr>
          <w:w w:val="105"/>
          <w:sz w:val="18"/>
        </w:rPr>
        <w:t>final</w:t>
      </w:r>
      <w:r>
        <w:rPr>
          <w:spacing w:val="-4"/>
          <w:w w:val="105"/>
          <w:sz w:val="18"/>
        </w:rPr>
        <w:t xml:space="preserve"> </w:t>
      </w:r>
      <w:r>
        <w:rPr>
          <w:w w:val="105"/>
          <w:sz w:val="18"/>
        </w:rPr>
        <w:t>account</w:t>
      </w:r>
      <w:r>
        <w:rPr>
          <w:spacing w:val="-5"/>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pStyle w:val="ListParagraph"/>
        <w:numPr>
          <w:ilvl w:val="5"/>
          <w:numId w:val="48"/>
        </w:numPr>
        <w:tabs>
          <w:tab w:val="clear" w:pos="720"/>
          <w:tab w:val="left" w:pos="3029" w:leader="none"/>
          <w:tab w:val="left" w:pos="3033" w:leader="none"/>
        </w:tabs>
        <w:spacing w:lineRule="auto" w:line="280" w:before="43" w:after="0"/>
        <w:ind w:hanging="339" w:left="3033" w:right="1774"/>
        <w:jc w:val="both"/>
        <w:rPr>
          <w:sz w:val="18"/>
        </w:rPr>
      </w:pPr>
      <w:r>
        <w:rPr>
          <w:w w:val="105"/>
          <w:sz w:val="18"/>
        </w:rPr>
        <w:t xml:space="preserve">Receipt by the Main Contractor of the corresponding payment from the </w:t>
      </w:r>
      <w:r>
        <w:rPr>
          <w:spacing w:val="-2"/>
          <w:w w:val="105"/>
          <w:sz w:val="18"/>
        </w:rPr>
        <w:t>Employer.</w:t>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Second instalment (5%) to be released {{C07}} days after:</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2" w:leader="none"/>
        </w:tabs>
        <w:spacing w:lineRule="auto" w:line="240" w:before="42" w:after="0"/>
        <w:ind w:hanging="338" w:left="3032" w:right="0"/>
        <w:jc w:val="left"/>
        <w:rPr>
          <w:sz w:val="18"/>
        </w:rPr>
      </w:pPr>
      <w:r>
        <w:rPr>
          <w:w w:val="105"/>
          <w:sz w:val="18"/>
        </w:rPr>
        <w:t>expiry</w:t>
      </w:r>
      <w:r>
        <w:rPr>
          <w:spacing w:val="-5"/>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Defects</w:t>
      </w:r>
      <w:r>
        <w:rPr>
          <w:spacing w:val="-4"/>
          <w:w w:val="105"/>
          <w:sz w:val="18"/>
        </w:rPr>
        <w:t xml:space="preserve"> </w:t>
      </w:r>
      <w:r>
        <w:rPr>
          <w:w w:val="105"/>
          <w:sz w:val="18"/>
        </w:rPr>
        <w:t>Liability</w:t>
      </w:r>
      <w:r>
        <w:rPr>
          <w:spacing w:val="-4"/>
          <w:w w:val="105"/>
          <w:sz w:val="18"/>
        </w:rPr>
        <w:t xml:space="preserve"> </w:t>
      </w:r>
      <w:r>
        <w:rPr>
          <w:w w:val="105"/>
          <w:sz w:val="18"/>
        </w:rPr>
        <w:t>Period</w:t>
      </w:r>
      <w:r>
        <w:rPr>
          <w:spacing w:val="-4"/>
          <w:w w:val="105"/>
          <w:sz w:val="18"/>
        </w:rPr>
        <w:t xml:space="preserve"> </w:t>
      </w:r>
      <w:r>
        <w:rPr>
          <w:w w:val="105"/>
          <w:sz w:val="18"/>
        </w:rPr>
        <w:t>applicable</w:t>
      </w:r>
      <w:r>
        <w:rPr>
          <w:spacing w:val="-3"/>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Subcontract</w:t>
      </w:r>
      <w:r>
        <w:rPr>
          <w:spacing w:val="-4"/>
          <w:w w:val="105"/>
          <w:sz w:val="18"/>
        </w:rPr>
        <w:t xml:space="preserve"> </w:t>
      </w:r>
      <w:r>
        <w:rPr>
          <w:spacing w:val="-2"/>
          <w:w w:val="105"/>
          <w:sz w:val="18"/>
        </w:rPr>
        <w:t>Works;</w:t>
      </w:r>
    </w:p>
    <w:p>
      <w:pPr>
        <w:pStyle w:val="ListParagraph"/>
        <w:numPr>
          <w:ilvl w:val="5"/>
          <w:numId w:val="48"/>
        </w:numPr>
        <w:tabs>
          <w:tab w:val="clear" w:pos="720"/>
          <w:tab w:val="left" w:pos="3030" w:leader="none"/>
        </w:tabs>
        <w:spacing w:lineRule="auto" w:line="240" w:before="45" w:after="0"/>
        <w:ind w:hanging="336" w:left="3030" w:right="0"/>
        <w:jc w:val="left"/>
        <w:rPr>
          <w:sz w:val="18"/>
        </w:rPr>
      </w:pPr>
      <w:r>
        <w:rPr>
          <w:w w:val="105"/>
          <w:sz w:val="18"/>
        </w:rPr>
        <w:t>issuance</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Final</w:t>
      </w:r>
      <w:r>
        <w:rPr>
          <w:spacing w:val="-5"/>
          <w:w w:val="105"/>
          <w:sz w:val="18"/>
        </w:rPr>
        <w:t xml:space="preserve"> </w:t>
      </w:r>
      <w:r>
        <w:rPr>
          <w:w w:val="105"/>
          <w:sz w:val="18"/>
        </w:rPr>
        <w:t>Completion</w:t>
      </w:r>
      <w:r>
        <w:rPr>
          <w:spacing w:val="-4"/>
          <w:w w:val="105"/>
          <w:sz w:val="18"/>
        </w:rPr>
        <w:t xml:space="preserve"> </w:t>
      </w:r>
      <w:r>
        <w:rPr>
          <w:w w:val="105"/>
          <w:sz w:val="18"/>
        </w:rPr>
        <w:t>Certificate</w:t>
      </w:r>
      <w:r>
        <w:rPr>
          <w:spacing w:val="-4"/>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sectPr>
          <w:headerReference w:type="default" r:id="rId52"/>
          <w:headerReference w:type="first" r:id="rId53"/>
          <w:footerReference w:type="default" r:id="rId54"/>
          <w:footerReference w:type="first" r:id="rId55"/>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5"/>
          <w:numId w:val="48"/>
        </w:numPr>
        <w:tabs>
          <w:tab w:val="clear" w:pos="720"/>
          <w:tab w:val="left" w:pos="3029" w:leader="none"/>
          <w:tab w:val="left" w:pos="3033" w:leader="none"/>
        </w:tabs>
        <w:spacing w:lineRule="auto" w:line="280" w:before="44" w:after="0"/>
        <w:ind w:hanging="339" w:left="3033" w:right="1861"/>
        <w:jc w:val="left"/>
        <w:rPr>
          <w:sz w:val="18"/>
        </w:rPr>
      </w:pPr>
      <w:r>
        <w:rPr>
          <w:w w:val="105"/>
          <w:sz w:val="18"/>
        </w:rPr>
        <w:t>the</w:t>
      </w:r>
      <w:r>
        <w:rPr>
          <w:spacing w:val="33"/>
          <w:w w:val="105"/>
          <w:sz w:val="18"/>
        </w:rPr>
        <w:t xml:space="preserve"> </w:t>
      </w:r>
      <w:r>
        <w:rPr>
          <w:w w:val="105"/>
          <w:sz w:val="18"/>
        </w:rPr>
        <w:t>Main</w:t>
      </w:r>
      <w:r>
        <w:rPr>
          <w:spacing w:val="-5"/>
          <w:w w:val="105"/>
          <w:sz w:val="18"/>
        </w:rPr>
        <w:t xml:space="preserve"> </w:t>
      </w:r>
      <w:r>
        <w:rPr>
          <w:w w:val="105"/>
          <w:sz w:val="18"/>
        </w:rPr>
        <w:t>Contractor’s</w:t>
      </w:r>
      <w:r>
        <w:rPr>
          <w:spacing w:val="-5"/>
          <w:w w:val="105"/>
          <w:sz w:val="18"/>
        </w:rPr>
        <w:t xml:space="preserve"> </w:t>
      </w:r>
      <w:r>
        <w:rPr>
          <w:w w:val="105"/>
          <w:sz w:val="18"/>
        </w:rPr>
        <w:t>receipt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corresponding</w:t>
      </w:r>
      <w:r>
        <w:rPr>
          <w:spacing w:val="-5"/>
          <w:w w:val="105"/>
          <w:sz w:val="18"/>
        </w:rPr>
        <w:t xml:space="preserve"> </w:t>
      </w:r>
      <w:r>
        <w:rPr>
          <w:w w:val="105"/>
          <w:sz w:val="18"/>
        </w:rPr>
        <w:t>retention</w:t>
      </w:r>
      <w:r>
        <w:rPr>
          <w:spacing w:val="-5"/>
          <w:w w:val="105"/>
          <w:sz w:val="18"/>
        </w:rPr>
        <w:t xml:space="preserve"> </w:t>
      </w:r>
      <w:r>
        <w:rPr>
          <w:w w:val="105"/>
          <w:sz w:val="18"/>
        </w:rPr>
        <w:t>payment</w:t>
      </w:r>
      <w:r>
        <w:rPr>
          <w:spacing w:val="-5"/>
          <w:w w:val="105"/>
          <w:sz w:val="18"/>
        </w:rPr>
        <w:t xml:space="preserve"> </w:t>
      </w:r>
      <w:r>
        <w:rPr>
          <w:w w:val="105"/>
          <w:sz w:val="18"/>
        </w:rPr>
        <w:t>from the Employer in respect of the Subcontract Works.</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from the Commencement Date or by {{A17}}.</w:t>
      </w:r>
      <w:r>
        <w:rPr>
          <w:spacing w:val="40"/>
          <w:w w:val="105"/>
          <w:sz w:val="18"/>
        </w:rPr>
      </w:r>
      <w:r>
        <w:rPr>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highlight w:val="yellow"/>
        </w:rPr>
      </w:r>
      <w:r>
        <w:rPr>
          <w:color w:val="EC0000"/>
          <w:w w:val="105"/>
          <w:highlight w:val="yellow"/>
        </w:rPr>
      </w:r>
      <w:r>
        <w:rPr>
          <w:color w:val="000000"/>
          <w:w w:val="105"/>
          <w:highlight w:val="yellow"/>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