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 xml:space="preserve">                  info@bhatiacompany.com</w:t>
              <w:br/>
            </w:r>
            <w:r>
              <w:rPr>
                <w:sz w:val="20"/>
                <w:szCs w:val="20"/>
                <w:w w:val="105"/>
              </w:rPr>
              <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 days</w:t>
              <w:br/>
              <w:t>Time for Completion of the Subcontract Works: {{A17}} days</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The advance payment shall be released upon submission of the required Bank Guarantee and approval of the engineering works.</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Progress payments shall be released by 60-day Post-Dated Cheque (PDC). Payment shall be made within 15 days from the date of approval of the Engineer's Certificate, with the PDC dated 60 days from the invoice date.</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The first 50% of the retention shall be released by 60-day Post-Dated Cheque (PDC) from the invoice date upon issuance of the Taking-Over Certificate (TOC)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remaining 50% of the retention shall be released by 60-day Post-Dated Cheque (PDC) from the invoice date upon completion of the Defects Liability Period (365 days)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