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info@bhatiacompany.com</w:t>
              <w:br/>
            </w:r>
            <w:r>
              <w:rPr>
                <w:sz w:val="20"/>
                <w:szCs w:val="20"/>
                <w:w w:val="105"/>
              </w:rPr>
              <w:t/>
              <w:br/>
            </w:r>
            <w:r>
              <w:rPr>
                <w:sz w:val="20"/>
                <w:szCs w:val="20"/>
                <w:w w:val="105"/>
              </w:rPr>
              <w:t>Contact Person: {{SUBCONTRACTOR_CONTACT_PERSON}}</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103"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 days PDC within 15 days from the invoice date</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 days PDC within 15 days from the invoice date</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 days PDC within 15 days from the invoice date</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4.2(a)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Subcontract Works: {{A17}} days</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4.2(b)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 months</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{{C05}} days Post-Dated Cheque (PDC). Payment shall be made within 15 days from the date of approval of the Engineer's Certificate, with the PDC dated {{C05}}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tabs>
          <w:tab w:val="clear" w:pos="720"/>
          <w:tab w:val="left" w:pos="3560" w:leader="none"/>
        </w:tabs>
        <w:spacing w:lineRule="exact" w:line="215" w:before="0" w:after="0"/>
        <w:ind w:hanging="460" w:left="3560" w:right="1775"/>
        <w:jc w:val="both"/>
        <w:rPr>
          <w:sz w:val="18"/>
        </w:rPr>
      </w:pPr>
      <w:r>
        <w:rPr>
          <w:w w:val="105"/>
          <w:sz w:val="18"/>
        </w:rPr>
        <w:t xml:space="preserve">•</w:t>
        <w:tab/>
        <w:t>The first 50% of the retention shall be released by {{C06}} days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tabs>
          <w:tab w:val="clear" w:pos="720"/>
          <w:tab w:val="left" w:pos="3560" w:leader="none"/>
        </w:tabs>
        <w:spacing w:lineRule="auto" w:line="240" w:before="0" w:after="0"/>
        <w:ind w:hanging="460" w:left="3560" w:right="1775"/>
        <w:jc w:val="left"/>
        <w:rPr>
          <w:sz w:val="18"/>
        </w:rPr>
      </w:pPr>
      <w:r>
        <w:rPr>
          <w:w w:val="105"/>
          <w:sz w:val="18"/>
        </w:rPr>
        <w:t xml:space="preserve">•</w:t>
        <w:tab/>
        <w:t>The remaining 50% of the retention shall be released by {{C07}} days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 (7) days from the date of this Subcontract Agreement, the Subcontractor shall submit 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{{A17}} days from the date of this Subcontract Agreement.</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date of this Subcontract Agreement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