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4.2(a)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Subcontract Works: {{A17}} days</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4.2(b)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{{C05}}-day Post-Dated Cheque (PDC). Payment shall be made within 15 days from the date of approval of the Engineer's Certificate, with the PDC dated {{C05}}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1775"/>
        <w:jc w:val="both"/>
        <w:rPr>
          <w:sz w:val="18"/>
        </w:rPr>
      </w:pPr>
      <w:r>
        <w:rPr>
          <w:w w:val="105"/>
          <w:sz w:val="18"/>
        </w:rPr>
        <w:t>The first 50% of the retention shall be released by {{C06}}-day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1775"/>
        <w:jc w:val="left"/>
        <w:rPr>
          <w:sz w:val="18"/>
        </w:rPr>
      </w:pPr>
      <w:r>
        <w:rPr>
          <w:w w:val="105"/>
          <w:sz w:val="18"/>
        </w:rPr>
        <w:t>The remaining 50% of the retention shall be released by {{C07}}-day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 (7) days from the date of this Subcontract Agreement, the Subcontractor shall submit 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{{A17}} days from the date of this Subcontract Agreement.</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date of this Subcontract Agreement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