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 xml:space="preserve">                  info@bhatiacompany.com</w:t>
              <w:br/>
            </w:r>
            <w:r>
              <w:rPr>
                <w:sz w:val="20"/>
                <w:szCs w:val="20"/>
                <w:w w:val="105"/>
              </w:rPr>
              <w:t/>
              <w:br/>
            </w:r>
            <w:r>
              <w:rPr>
                <w:b/>
                <w:bCs/>
                <w:sz w:val="20"/>
                <w:szCs w:val="20"/>
                <w:w w:val="105"/>
              </w:rPr>
              <w:t>The Subcontractor Address</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4.2(a)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Subcontract Works: {{A17}} days</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4.2(b)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The advance payment shall be released upon submission of the required Bank Guarantee and approval of the engineering works.</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Progress payments shall be released by {{C05}}-day Post-Dated Cheque (PDC). Payment shall be made within 15 days from the date of approval of the Engineer's Certificate, with the PDC dated {{C05}} days from the invoice date.</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The first 50% of the retention shall be released by {{C06}}-day Post-Dated Cheque (PDC) from the invoice date upon issuance of the Taking-Over Certificate (TOC)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remaining 50% of the retention shall be released by {{C07}}-day Post-Dated Cheque (PDC) from the invoice date upon completion of the Defects Liability Period (365 days)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 (7) days from the date of this Subcontract Agreement, the Subcontractor shall submit 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{{A17}} days from the date of this Subcontract Agreement.</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date of this Subcontract Agreement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