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D76A2D" w:rsidRPr="002F6CDF">
        <w:rPr>
          <w:rStyle w:val="a4"/>
          <w:rFonts w:hint="eastAsia"/>
        </w:rPr>
        <w:t>载入时触发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getUserData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lastRenderedPageBreak/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lastRenderedPageBreak/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lastRenderedPageBreak/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E09EF">
        <w:rPr>
          <w:rStyle w:val="a4"/>
          <w:rFonts w:hint="eastAsia"/>
        </w:rPr>
        <w:t>/</w:t>
      </w:r>
      <w:bookmarkStart w:id="0" w:name="_GoBack"/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bookmarkEnd w:id="0"/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4338"/>
    <w:rsid w:val="007169BA"/>
    <w:rsid w:val="00732624"/>
    <w:rsid w:val="00737D6F"/>
    <w:rsid w:val="00754D4B"/>
    <w:rsid w:val="0078567F"/>
    <w:rsid w:val="007B48CA"/>
    <w:rsid w:val="0082684E"/>
    <w:rsid w:val="00845424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76382"/>
    <w:rsid w:val="00BE09EF"/>
    <w:rsid w:val="00BF6923"/>
    <w:rsid w:val="00C07730"/>
    <w:rsid w:val="00CC3153"/>
    <w:rsid w:val="00CF0A95"/>
    <w:rsid w:val="00D23F8C"/>
    <w:rsid w:val="00D54429"/>
    <w:rsid w:val="00D76A2D"/>
    <w:rsid w:val="00D76AF5"/>
    <w:rsid w:val="00D76EB5"/>
    <w:rsid w:val="00D80BE9"/>
    <w:rsid w:val="00DD7896"/>
    <w:rsid w:val="00E12678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E061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15969</TotalTime>
  <Pages>1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22</cp:revision>
  <dcterms:created xsi:type="dcterms:W3CDTF">2019-09-24T02:20:00Z</dcterms:created>
  <dcterms:modified xsi:type="dcterms:W3CDTF">2019-10-22T06:20:00Z</dcterms:modified>
</cp:coreProperties>
</file>