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pgSz w:h="16840" w:w="11910" w:orient="portrait"/>
          <w:pgMar w:bottom="280" w:top="1020" w:left="1560" w:right="400" w:header="720" w:footer="720"/>
          <w:pgNumType w:start="1"/>
        </w:sect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D">
      <w:pPr>
        <w:pStyle w:val="Heading1"/>
        <w:ind w:firstLine="2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6318250" cy="66592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footerReference r:id="rId7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232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38850" cy="7877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код работы.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4524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5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код работы.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следующий txt и начнём работу с ним: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05150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txt файл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95602" cy="206386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616" r="3568" t="7759"/>
                    <a:stretch>
                      <a:fillRect/>
                    </a:stretch>
                  </pic:blipFill>
                  <pic:spPr>
                    <a:xfrm>
                      <a:off x="0" y="0"/>
                      <a:ext cx="4495602" cy="206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Вывод консоли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57625" cy="3086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Документ после исполнения кода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2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 реализован механизм загрузки текстовой информации в документ «Счет на оплату» с использованием программных методов работы с данными. Задача заключалась в том, чтобы обеспечить корректную загрузку данных из текстового файла, содержащего информацию о документах, и при необходимости создать новый документ, либо обновить существующий, если данные о нем уже присутствуют в базе.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исследования заключался в анализе структуры текстового файла и сопоставлении содержимого с уже существующими записями в базе данных. Программа должна была загружать номер счета, дату, договор и сумму из текстового файла и корректно обрабатывать эти данные.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результаты показали, что система успешно справляется с загрузкой данных и корректировкой существующих записей. Если документ с указанным номером отсутствует в базе, то программа создает новый документ, а в случае нахождения соответствующего номера — обновляет его реквизиты.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Графики в этой лабораторной работе не применялись, поскольку задача носила сугубо программный характер и не включала в себя экспериментальных измерений. Однако можно отметить, что программа демонстрирует корректное поведение при различных условиях загрузки данных, что подтверждается тестированием с несколькими текстовыми файлами.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360" w:lineRule="auto"/>
        <w:ind w:left="709" w:right="5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00" w:left="1560" w:right="40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поставленной задачи можно считать выполненным в полном объеме. В ходе работы не возникло значительных расхождений между результатами обработки данных и ожидаемыми результатами. Программа была протестирована на разных входных данных, что подтверждает ее работоспособность и корректность алгоритма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