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прохождению внешнего курса</w:t>
      </w:r>
    </w:p>
    <w:p>
      <w:pPr>
        <w:pStyle w:val="Subtitle"/>
      </w:pPr>
      <w:r>
        <w:t xml:space="preserve">Работа с сервером</w:t>
      </w:r>
    </w:p>
    <w:p>
      <w:pPr>
        <w:pStyle w:val="Author"/>
      </w:pPr>
      <w:r>
        <w:t xml:space="preserve">Добрынин Никита Артёмович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Ознакомиться с общей информацией о работе с сервером, попрактиковаться.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Пройти второй раздел внешнего курса.</w:t>
      </w:r>
    </w:p>
    <w:bookmarkEnd w:id="21"/>
    <w:bookmarkStart w:id="11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каких задач можно использовать сервер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200400" cy="148166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81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Все варианты из предложенных верны, сервер многофункционален</w:t>
            </w:r>
          </w:p>
          <w:bookmarkEnd w:id="25"/>
        </w:tc>
      </w:tr>
    </w:tbl>
    <w:p>
      <w:pPr>
        <w:pStyle w:val="BodyText"/>
      </w:pPr>
      <w:r>
        <w:t xml:space="preserve">Какой из предложенных ключей можно распространять без опаски?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200400" cy="114694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46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Ответ: id_rsa.pub, т.к. это публичный ключ</w:t>
            </w:r>
          </w:p>
          <w:bookmarkEnd w:id="29"/>
        </w:tc>
      </w:tr>
    </w:tbl>
    <w:p>
      <w:pPr>
        <w:pStyle w:val="BodyText"/>
      </w:pPr>
      <w:r>
        <w:t xml:space="preserve">Какая из команд скопирует на сервер папку со всем содержимым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200400" cy="137998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79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scp -r название_каталога сервер@сервер</w:t>
            </w:r>
          </w:p>
          <w:bookmarkEnd w:id="33"/>
        </w:tc>
      </w:tr>
    </w:tbl>
    <w:p>
      <w:pPr>
        <w:pStyle w:val="BodyText"/>
      </w:pPr>
      <w:r>
        <w:t xml:space="preserve">У вас не получается установить программу, какие действия помогут устранить проблему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200400" cy="149618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961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sudo apt-get update, обновление установочных пакетов</w:t>
            </w:r>
          </w:p>
          <w:bookmarkEnd w:id="37"/>
        </w:tc>
      </w:tr>
    </w:tbl>
    <w:p>
      <w:pPr>
        <w:pStyle w:val="BodyText"/>
      </w:pPr>
      <w:r>
        <w:t xml:space="preserve">Для чего используется filezilla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200400" cy="137738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77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filezilla - графическая программа для управления сервером не из терминала, в ней можно копировать файлы в обе стороны и для просмотра содержимого</w:t>
            </w:r>
          </w:p>
          <w:bookmarkEnd w:id="41"/>
        </w:tc>
      </w:tr>
    </w:tbl>
    <w:p>
      <w:pPr>
        <w:pStyle w:val="BodyText"/>
      </w:pPr>
      <w:r>
        <w:t xml:space="preserve">Что делать если требуется запустить графическую программу на сервере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200400" cy="1392794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2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Нужно проверить существуют ли версии этой программы для терминала или настроить сервер так, чтобы приложение поддерживало вывод в терминал</w:t>
            </w:r>
          </w:p>
          <w:bookmarkEnd w:id="45"/>
        </w:tc>
      </w:tr>
    </w:tbl>
    <w:p>
      <w:pPr>
        <w:pStyle w:val="BodyText"/>
      </w:pPr>
      <w:r>
        <w:t xml:space="preserve">Как открыть справку по команде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200400" cy="139007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Командами help, man и –help</w:t>
            </w:r>
          </w:p>
          <w:bookmarkEnd w:id="49"/>
        </w:tc>
      </w:tr>
    </w:tbl>
    <w:p>
      <w:pPr>
        <w:pStyle w:val="BodyText"/>
      </w:pPr>
      <w:r>
        <w:t xml:space="preserve">Какой формат вводных файлов поддерживает программа FastQC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200400" cy="114614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46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Форматы: bam_mappwed, sam_mapped</w:t>
            </w:r>
          </w:p>
          <w:bookmarkEnd w:id="53"/>
        </w:tc>
      </w:tr>
    </w:tbl>
    <w:p>
      <w:pPr>
        <w:pStyle w:val="BodyText"/>
      </w:pPr>
      <w:r>
        <w:t xml:space="preserve">Необходимо найти команду данную по условию в задании в справочной информации, для выполнения множественного выравнивания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200400" cy="92058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920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Воспользовавшись онлайн справкой: clustalw -infile=test.fasta -align</w:t>
            </w:r>
          </w:p>
          <w:bookmarkEnd w:id="57"/>
        </w:tc>
      </w:tr>
    </w:tbl>
    <w:p>
      <w:pPr>
        <w:pStyle w:val="BodyText"/>
      </w:pPr>
      <w:r>
        <w:t xml:space="preserve">По каким программам выведет информацию командой jobs (рис.</w:t>
      </w:r>
      <w:r>
        <w:t xml:space="preserve"> </w:t>
      </w:r>
      <w:hyperlink w:anchor="fig-0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10"/>
          <w:p>
            <w:pPr>
              <w:pStyle w:val="Compact"/>
              <w:jc w:val="center"/>
            </w:pPr>
            <w:r>
              <w:drawing>
                <wp:inline>
                  <wp:extent cx="3200400" cy="164396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43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Только о program 2 и program 3, т.к. 3 программу мы не трогали, а программу 2 просто приостановили</w:t>
            </w:r>
          </w:p>
          <w:bookmarkEnd w:id="61"/>
        </w:tc>
      </w:tr>
    </w:tbl>
    <w:p>
      <w:pPr>
        <w:pStyle w:val="BodyText"/>
      </w:pPr>
      <w:r>
        <w:t xml:space="preserve">Одинаковые ли идентификаторы у команд jobs, top, ps (рис.</w:t>
      </w:r>
      <w:r>
        <w:t xml:space="preserve"> </w:t>
      </w:r>
      <w:hyperlink w:anchor="fig-0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011"/>
          <w:p>
            <w:pPr>
              <w:pStyle w:val="Compact"/>
              <w:jc w:val="center"/>
            </w:pPr>
            <w:r>
              <w:drawing>
                <wp:inline>
                  <wp:extent cx="3200400" cy="146312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63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Одинаковые только у jobs и ps</w:t>
            </w:r>
          </w:p>
          <w:bookmarkEnd w:id="65"/>
        </w:tc>
      </w:tr>
    </w:tbl>
    <w:p>
      <w:pPr>
        <w:pStyle w:val="BodyText"/>
      </w:pPr>
      <w:r>
        <w:t xml:space="preserve">Какой командой можно мгновенно завершить остановленный процесс (рис.</w:t>
      </w:r>
      <w:r>
        <w:t xml:space="preserve"> </w:t>
      </w:r>
      <w:hyperlink w:anchor="fig-0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012"/>
          <w:p>
            <w:pPr>
              <w:pStyle w:val="Compact"/>
              <w:jc w:val="center"/>
            </w:pPr>
            <w:r>
              <w:drawing>
                <wp:inline>
                  <wp:extent cx="3200400" cy="129836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2983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Командой kill -9, принудительное завершение</w:t>
            </w:r>
          </w:p>
          <w:bookmarkEnd w:id="69"/>
        </w:tc>
      </w:tr>
    </w:tbl>
    <w:p>
      <w:pPr>
        <w:pStyle w:val="BodyText"/>
      </w:pPr>
      <w:r>
        <w:t xml:space="preserve">Что произойдет если применить команду kill к приостановленной задаче (рис.</w:t>
      </w:r>
      <w:r>
        <w:t xml:space="preserve"> </w:t>
      </w:r>
      <w:hyperlink w:anchor="fig-0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013"/>
          <w:p>
            <w:pPr>
              <w:pStyle w:val="Compact"/>
              <w:jc w:val="center"/>
            </w:pPr>
            <w:r>
              <w:drawing>
                <wp:inline>
                  <wp:extent cx="3200400" cy="136733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673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Процесс приступит к завершению, как только будет продолжен</w:t>
            </w:r>
          </w:p>
          <w:bookmarkEnd w:id="73"/>
        </w:tc>
      </w:tr>
    </w:tbl>
    <w:p>
      <w:pPr>
        <w:pStyle w:val="BodyText"/>
      </w:pPr>
      <w:r>
        <w:t xml:space="preserve">Сколько ресурсов использует приостановленное многопоточное приложение (рис.</w:t>
      </w:r>
      <w:r>
        <w:t xml:space="preserve"> </w:t>
      </w:r>
      <w:hyperlink w:anchor="fig-0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014"/>
          <w:p>
            <w:pPr>
              <w:pStyle w:val="Compact"/>
              <w:jc w:val="center"/>
            </w:pPr>
            <w:r>
              <w:drawing>
                <wp:inline>
                  <wp:extent cx="3200400" cy="1153963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53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0% CPU, т.к. приложение находится в остановленном приложении</w:t>
            </w:r>
          </w:p>
          <w:bookmarkEnd w:id="77"/>
        </w:tc>
      </w:tr>
    </w:tbl>
    <w:p>
      <w:pPr>
        <w:pStyle w:val="BodyText"/>
      </w:pPr>
      <w:r>
        <w:t xml:space="preserve">Сколько памяти занимает остановленное многопоточное приложение (рис.</w:t>
      </w:r>
      <w:r>
        <w:t xml:space="preserve"> </w:t>
      </w:r>
      <w:hyperlink w:anchor="fig-0015">
        <w:r>
          <w:rPr>
            <w:rStyle w:val="Hyperlink"/>
          </w:rPr>
          <w:t xml:space="preserve">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015"/>
          <w:p>
            <w:pPr>
              <w:pStyle w:val="Compact"/>
              <w:jc w:val="center"/>
            </w:pPr>
            <w:r>
              <w:drawing>
                <wp:inline>
                  <wp:extent cx="3200400" cy="167557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75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Столько же, сколько и до этого</w:t>
            </w:r>
          </w:p>
          <w:bookmarkEnd w:id="81"/>
        </w:tc>
      </w:tr>
    </w:tbl>
    <w:p>
      <w:pPr>
        <w:pStyle w:val="BodyText"/>
      </w:pPr>
      <w:r>
        <w:t xml:space="preserve">Как принудительно завершить один из потоков многопоточного приложения (рис.</w:t>
      </w:r>
      <w:r>
        <w:t xml:space="preserve"> </w:t>
      </w:r>
      <w:hyperlink w:anchor="fig-0016">
        <w:r>
          <w:rPr>
            <w:rStyle w:val="Hyperlink"/>
          </w:rPr>
          <w:t xml:space="preserve">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016"/>
          <w:p>
            <w:pPr>
              <w:pStyle w:val="Compact"/>
              <w:jc w:val="center"/>
            </w:pPr>
            <w:r>
              <w:drawing>
                <wp:inline>
                  <wp:extent cx="3200400" cy="172530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253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Никак</w:t>
            </w:r>
          </w:p>
          <w:bookmarkEnd w:id="85"/>
        </w:tc>
      </w:tr>
    </w:tbl>
    <w:p>
      <w:pPr>
        <w:pStyle w:val="BodyText"/>
      </w:pPr>
      <w:r>
        <w:t xml:space="preserve">Какой из шагов можно выполнить в несколько потоков (см. рис.</w:t>
      </w:r>
      <w:r>
        <w:t xml:space="preserve"> </w:t>
      </w:r>
      <w:hyperlink w:anchor="fig-0017">
        <w:r>
          <w:rPr>
            <w:rStyle w:val="Hyperlink"/>
          </w:rPr>
          <w:t xml:space="preserve">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017"/>
          <w:p>
            <w:pPr>
              <w:pStyle w:val="Compact"/>
              <w:jc w:val="center"/>
            </w:pPr>
            <w:r>
              <w:drawing>
                <wp:inline>
                  <wp:extent cx="3200400" cy="1617345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173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Изучив справочник стало ясно: запустить полуится только bowtie2</w:t>
            </w:r>
          </w:p>
          <w:bookmarkEnd w:id="89"/>
        </w:tc>
      </w:tr>
    </w:tbl>
    <w:p>
      <w:pPr>
        <w:pStyle w:val="BodyText"/>
      </w:pPr>
      <w:r>
        <w:t xml:space="preserve">Чего мы добьемся переключившись на вкладку и набрав fg (рис.</w:t>
      </w:r>
      <w:r>
        <w:t xml:space="preserve"> </w:t>
      </w:r>
      <w:hyperlink w:anchor="fig-0018">
        <w:r>
          <w:rPr>
            <w:rStyle w:val="Hyperlink"/>
          </w:rPr>
          <w:t xml:space="preserve">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018"/>
          <w:p>
            <w:pPr>
              <w:pStyle w:val="Compact"/>
              <w:jc w:val="center"/>
            </w:pPr>
            <w:r>
              <w:drawing>
                <wp:inline>
                  <wp:extent cx="3200400" cy="144408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440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Терминал сообщит, что нет процесса для запуска в fg</w:t>
            </w:r>
          </w:p>
          <w:bookmarkEnd w:id="93"/>
        </w:tc>
      </w:tr>
    </w:tbl>
    <w:p>
      <w:pPr>
        <w:pStyle w:val="BodyText"/>
      </w:pPr>
      <w:r>
        <w:t xml:space="preserve">В tmux осталась послденяя вкладка, что будет если написать команду exit (рис.</w:t>
      </w:r>
      <w:r>
        <w:t xml:space="preserve"> </w:t>
      </w:r>
      <w:hyperlink w:anchor="fig-0019">
        <w:r>
          <w:rPr>
            <w:rStyle w:val="Hyperlink"/>
          </w:rPr>
          <w:t xml:space="preserve">19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019"/>
          <w:p>
            <w:pPr>
              <w:pStyle w:val="Compact"/>
              <w:jc w:val="center"/>
            </w:pPr>
            <w:r>
              <w:drawing>
                <wp:inline>
                  <wp:extent cx="3200400" cy="1370303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70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tmux завершит работу</w:t>
            </w:r>
          </w:p>
          <w:bookmarkEnd w:id="97"/>
        </w:tc>
      </w:tr>
    </w:tbl>
    <w:p>
      <w:pPr>
        <w:pStyle w:val="BodyText"/>
      </w:pPr>
      <w:r>
        <w:t xml:space="preserve">Мы зашли на сервер и запустили tmux, что будет если закрыть терминал (рис.</w:t>
      </w:r>
      <w:r>
        <w:t xml:space="preserve"> </w:t>
      </w:r>
      <w:hyperlink w:anchor="fig-0020">
        <w:r>
          <w:rPr>
            <w:rStyle w:val="Hyperlink"/>
          </w:rPr>
          <w:t xml:space="preserve">20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020"/>
          <w:p>
            <w:pPr>
              <w:pStyle w:val="Compact"/>
              <w:jc w:val="center"/>
            </w:pPr>
            <w:r>
              <w:drawing>
                <wp:inline>
                  <wp:extent cx="3200400" cy="1509346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5093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Соединение с сервером прервется, но работа tmux продолжится</w:t>
            </w:r>
          </w:p>
          <w:bookmarkEnd w:id="101"/>
        </w:tc>
      </w:tr>
    </w:tbl>
    <w:p>
      <w:pPr>
        <w:pStyle w:val="BodyText"/>
      </w:pPr>
      <w:r>
        <w:t xml:space="preserve">Что произойдет, если открыть tmux и принудительно завершить его (рис.</w:t>
      </w:r>
      <w:r>
        <w:t xml:space="preserve"> </w:t>
      </w:r>
      <w:hyperlink w:anchor="fig-0021">
        <w:r>
          <w:rPr>
            <w:rStyle w:val="Hyperlink"/>
          </w:rPr>
          <w:t xml:space="preserve">21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021"/>
          <w:p>
            <w:pPr>
              <w:pStyle w:val="Compact"/>
              <w:jc w:val="center"/>
            </w:pPr>
            <w:r>
              <w:drawing>
                <wp:inline>
                  <wp:extent cx="3200400" cy="140841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08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Вкалдка закроется, а вместе с ней пропадет и процесс</w:t>
            </w:r>
          </w:p>
          <w:bookmarkEnd w:id="105"/>
        </w:tc>
      </w:tr>
    </w:tbl>
    <w:p>
      <w:pPr>
        <w:pStyle w:val="BodyText"/>
      </w:pPr>
      <w:r>
        <w:t xml:space="preserve">Задание: изуть справку по tmux и ответить на вопросы (рис.</w:t>
      </w:r>
      <w:r>
        <w:t xml:space="preserve"> </w:t>
      </w:r>
      <w:hyperlink w:anchor="fig-0022">
        <w:r>
          <w:rPr>
            <w:rStyle w:val="Hyperlink"/>
          </w:rPr>
          <w:t xml:space="preserve">22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022"/>
          <w:p>
            <w:pPr>
              <w:pStyle w:val="Compact"/>
              <w:jc w:val="center"/>
            </w:pPr>
            <w:r>
              <w:drawing>
                <wp:inline>
                  <wp:extent cx="3200400" cy="1652299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6522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Ctrl+B и , переименует текущую вкладку</w:t>
            </w:r>
          </w:p>
          <w:bookmarkEnd w:id="109"/>
        </w:tc>
      </w:tr>
    </w:tbl>
    <w:p>
      <w:pPr>
        <w:pStyle w:val="BodyText"/>
      </w:pPr>
      <w:r>
        <w:t xml:space="preserve">Вопросы по работе с вкалдками в tmux (рис.</w:t>
      </w:r>
      <w:r>
        <w:t xml:space="preserve"> </w:t>
      </w:r>
      <w:hyperlink w:anchor="fig-0023">
        <w:r>
          <w:rPr>
            <w:rStyle w:val="Hyperlink"/>
          </w:rPr>
          <w:t xml:space="preserve">23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023"/>
          <w:p>
            <w:pPr>
              <w:pStyle w:val="Compact"/>
              <w:jc w:val="center"/>
            </w:pPr>
            <w:r>
              <w:drawing>
                <wp:inline>
                  <wp:extent cx="3200400" cy="1457929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57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Из предложенных вариантов подходит только 2 ответ</w:t>
            </w:r>
          </w:p>
          <w:bookmarkEnd w:id="113"/>
        </w:tc>
      </w:tr>
    </w:tbl>
    <w:bookmarkEnd w:id="114"/>
    <w:bookmarkStart w:id="11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изучил основы работы с сервером на приактике.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прохождению внешнего курса</dc:title>
  <dc:creator>Добрынин Никита Артёмович</dc:creator>
  <dc:language>ru-RU</dc:language>
  <cp:keywords/>
  <dcterms:created xsi:type="dcterms:W3CDTF">2026-05-13T12:09:58Z</dcterms:created>
  <dcterms:modified xsi:type="dcterms:W3CDTF">2026-05-13T12:09:58Z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Работа с сервером</vt:lpwstr>
  </property>
  <property fmtid="{D5CDD505-2E9C-101B-9397-08002B2CF9AE}" pid="15" name="toc-title">
    <vt:lpwstr>Содержание</vt:lpwstr>
  </property>
</Properties>
</file>