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dgm="http://schemas.openxmlformats.org/drawingml/2006/diagram" xmlns:m="http://schemas.openxmlformats.org/officeDocument/2006/math">
  <w:body>
    <w:p>
      <w:r>
        <w:t xml:space="preserve">Chart fixture — 來源 磺港溪C-A自主檢查統計1130401.xlsx</w:t>
      </w:r>
    </w:p>
    <w:p>
      <w:r>
        <w:drawing>
          <wp:inline distT="0" distB="0" distL="0" distR="0">
            <wp:extent cx="5486400" cy="3200400"/>
            <wp:docPr id="1" name="Chart 1"/>
            <a:graphic>
              <a:graphicData uri="http://schemas.openxmlformats.org/drawingml/2006/chart">
                <c:chart r:id="rIdChart"/>
              </a:graphicData>
            </a:graphic>
          </wp:inline>
        </w:drawing>
      </w:r>
    </w:p>
    <w:sectPr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Chart" Type="http://schemas.openxmlformats.org/officeDocument/2006/relationships/chart" Target="charts/chart1.xml"/><Relationship Id="rIdStyles" Type="http://schemas.openxmlformats.org/officeDocument/2006/relationships/styles" Target="styles.xml"/></Relationships>
</file>

<file path=word/charts/_rels/chart1.xml.rels><?xml version="1.0" encoding="UTF-8" standalone="yes"?>
<Relationships xmlns="http://schemas.openxmlformats.org/package/2006/relationships"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zh-TW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統計圖!$B$3:$B$31</c:f>
              <c:strCache>
                <c:ptCount val="29"/>
                <c:pt idx="0">
                  <c:v>測量放樣</c:v>
                </c:pt>
                <c:pt idx="1">
                  <c:v>土方開挖</c:v>
                </c:pt>
                <c:pt idx="2">
                  <c:v>土方回填(含級配)</c:v>
                </c:pt>
                <c:pt idx="3">
                  <c:v>鋼筋工程</c:v>
                </c:pt>
                <c:pt idx="4">
                  <c:v>模板工程</c:v>
                </c:pt>
                <c:pt idx="5">
                  <c:v>混凝土工程</c:v>
                </c:pt>
                <c:pt idx="6">
                  <c:v>植筋工程</c:v>
                </c:pt>
                <c:pt idx="7">
                  <c:v>預力混凝土基樁</c:v>
                </c:pt>
                <c:pt idx="8">
                  <c:v>砌塊石護岸</c:v>
                </c:pt>
                <c:pt idx="9">
                  <c:v>低水護岸</c:v>
                </c:pt>
                <c:pt idx="10">
                  <c:v>固床工</c:v>
                </c:pt>
                <c:pt idx="11">
                  <c:v>全套管基樁</c:v>
                </c:pt>
                <c:pt idx="12">
                  <c:v>鋼筋混凝土管</c:v>
                </c:pt>
                <c:pt idx="13">
                  <c:v>鋼版樁</c:v>
                </c:pt>
                <c:pt idx="14">
                  <c:v>路床/路基高程</c:v>
                </c:pt>
                <c:pt idx="15">
                  <c:v>瀝青混凝土</c:v>
                </c:pt>
                <c:pt idx="16">
                  <c:v>景觀鋪面(一)</c:v>
                </c:pt>
                <c:pt idx="17">
                  <c:v>景觀鋪面(二)</c:v>
                </c:pt>
                <c:pt idx="18">
                  <c:v>預鑄緣石</c:v>
                </c:pt>
                <c:pt idx="19">
                  <c:v>鋼構工程吊裝</c:v>
                </c:pt>
                <c:pt idx="20">
                  <c:v>鋼構工程塗裝</c:v>
                </c:pt>
                <c:pt idx="21">
                  <c:v>排水設施(一)</c:v>
                </c:pt>
                <c:pt idx="22">
                  <c:v>排水設施(二)</c:v>
                </c:pt>
                <c:pt idx="23">
                  <c:v>木構造</c:v>
                </c:pt>
                <c:pt idx="24">
                  <c:v>管路</c:v>
                </c:pt>
                <c:pt idx="25">
                  <c:v>植栽(移植)</c:v>
                </c:pt>
                <c:pt idx="26">
                  <c:v>植栽(新植)</c:v>
                </c:pt>
                <c:pt idx="27">
                  <c:v>照明</c:v>
                </c:pt>
                <c:pt idx="28">
                  <c:v>既有橋梁拆除</c:v>
                </c:pt>
              </c:strCache>
            </c:strRef>
          </c:cat>
          <c:val>
            <c:numRef>
              <c:f>統計圖!$C$3:$C$31</c:f>
              <c:numCache>
                <c:formatCode>General</c:formatCode>
                <c:ptCount val="29"/>
                <c:pt idx="0">
                  <c:v>8</c:v>
                </c:pt>
                <c:pt idx="1">
                  <c:v>21</c:v>
                </c:pt>
                <c:pt idx="2">
                  <c:v>0</c:v>
                </c:pt>
                <c:pt idx="3">
                  <c:v>16</c:v>
                </c:pt>
                <c:pt idx="4">
                  <c:v>4</c:v>
                </c:pt>
                <c:pt idx="5">
                  <c:v>17</c:v>
                </c:pt>
                <c:pt idx="6">
                  <c:v>0</c:v>
                </c:pt>
                <c:pt idx="7">
                  <c:v>3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14</c:v>
                </c:pt>
                <c:pt idx="12">
                  <c:v>0</c:v>
                </c:pt>
                <c:pt idx="13">
                  <c:v>3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  <c:pt idx="21">
                  <c:v>0</c:v>
                </c:pt>
                <c:pt idx="22">
                  <c:v>0</c:v>
                </c:pt>
                <c:pt idx="23">
                  <c:v>0</c:v>
                </c:pt>
                <c:pt idx="24">
                  <c:v>0</c:v>
                </c:pt>
                <c:pt idx="25">
                  <c:v>7</c:v>
                </c:pt>
                <c:pt idx="26">
                  <c:v>0</c:v>
                </c:pt>
                <c:pt idx="27">
                  <c:v>0</c:v>
                </c:pt>
                <c:pt idx="28">
                  <c:v>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818-4499-A3E8-DDBFB9D14502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shape val="box"/>
        <c:axId val="823313472"/>
        <c:axId val="823319048"/>
        <c:axId val="0"/>
      </c:bar3DChart>
      <c:catAx>
        <c:axId val="8233134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823319048"/>
        <c:crosses val="autoZero"/>
        <c:auto val="1"/>
        <c:lblAlgn val="ctr"/>
        <c:lblOffset val="100"/>
        <c:noMultiLvlLbl val="0"/>
      </c:catAx>
      <c:valAx>
        <c:axId val="823319048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TW"/>
          </a:p>
        </c:txPr>
        <c:crossAx val="8233134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TW"/>
    </a:p>
  </c:txPr>
  <c:printSettings>
    <c:headerFooter/>
    <c:pageMargins b="0.75" l="0.7" r="0.7" t="0.75" header="0.3" footer="0.3"/>
    <c:pageSetup/>
  </c:printSettings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