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dgm="http://schemas.openxmlformats.org/drawingml/2006/diagram" xmlns:m="http://schemas.openxmlformats.org/officeDocument/2006/math">
  <w:body>
    <w:p>
      <w:r>
        <w:t xml:space="preserve">Chart fixture — 來源 預定進度表(通河).xlsx</w:t>
      </w:r>
    </w:p>
    <w:p>
      <w:r>
        <w:drawing>
          <wp:inline distT="0" distB="0" distL="0" distR="0">
            <wp:extent cx="5486400" cy="3200400"/>
            <wp:docPr id="1" name="Chart 1"/>
            <a:graphic>
              <a:graphicData uri="http://schemas.openxmlformats.org/drawingml/2006/chart">
                <c:chart r:id="rIdChart"/>
              </a:graphicData>
            </a:graphic>
          </wp:inline>
        </w:drawing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Chart" Type="http://schemas.openxmlformats.org/officeDocument/2006/relationships/chart" Target="charts/chart1.xml"/><Relationship Id="rIdStyles" Type="http://schemas.openxmlformats.org/officeDocument/2006/relationships/styles" Target="styles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9.3669732965778726E-2"/>
          <c:y val="9.7803228809562312E-2"/>
          <c:w val="0.88981094419448969"/>
          <c:h val="0.90219679117887364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曲線!#REF!</c:f>
              <c:strCache>
                <c:ptCount val="1"/>
                <c:pt idx="0">
                  <c:v>#REF!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曲線!$C$13:$C$25</c:f>
              <c:strCache>
                <c:ptCount val="13"/>
                <c:pt idx="0">
                  <c:v>新設箱涵工程</c:v>
                </c:pt>
                <c:pt idx="1">
                  <c:v>拆除既有設施物</c:v>
                </c:pt>
                <c:pt idx="2">
                  <c:v>擋土設施及開挖作業</c:v>
                </c:pt>
                <c:pt idx="3">
                  <c:v>箱涵結構(0k+003.5~0k+056)</c:v>
                </c:pt>
                <c:pt idx="4">
                  <c:v>頂板(0k+003.5~0k+056)</c:v>
                </c:pt>
                <c:pt idx="5">
                  <c:v>台電遷移</c:v>
                </c:pt>
                <c:pt idx="6">
                  <c:v>擋土設施及開挖作業</c:v>
                </c:pt>
                <c:pt idx="7">
                  <c:v>箱涵結構(0k+000~0k+003.5)</c:v>
                </c:pt>
                <c:pt idx="8">
                  <c:v>頂板(0k+000~0k+003.5)</c:v>
                </c:pt>
                <c:pt idx="9">
                  <c:v>銑鋪工程</c:v>
                </c:pt>
                <c:pt idx="10">
                  <c:v>周邊復舊</c:v>
                </c:pt>
                <c:pt idx="11">
                  <c:v>景觀圍牆復舊</c:v>
                </c:pt>
                <c:pt idx="12">
                  <c:v>周圍地坪復舊工程</c:v>
                </c:pt>
              </c:strCache>
            </c:strRef>
          </c:cat>
          <c:val>
            <c:numRef>
              <c:f>曲線!$W$13:$W$25</c:f>
              <c:numCache>
                <c:formatCode>yyyy/m/d;@</c:formatCode>
                <c:ptCount val="13"/>
                <c:pt idx="2">
                  <c:v>45091</c:v>
                </c:pt>
                <c:pt idx="3">
                  <c:v>45101</c:v>
                </c:pt>
                <c:pt idx="11">
                  <c:v>45091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861-45B0-BC69-5C5BD0430B77}"/>
            </c:ext>
          </c:extLst>
        </c:ser>
        <c:ser>
          <c:idx val="1"/>
          <c:order val="1"/>
          <c:tx>
            <c:strRef>
              <c:f>曲線!$D$6</c:f>
              <c:strCache>
                <c:ptCount val="1"/>
                <c:pt idx="0">
                  <c:v>天數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曲線!$C$13:$C$26</c:f>
              <c:strCache>
                <c:ptCount val="14"/>
                <c:pt idx="0">
                  <c:v>新設箱涵工程</c:v>
                </c:pt>
                <c:pt idx="1">
                  <c:v>拆除既有設施物</c:v>
                </c:pt>
                <c:pt idx="2">
                  <c:v>擋土設施及開挖作業</c:v>
                </c:pt>
                <c:pt idx="3">
                  <c:v>箱涵結構(0k+003.5~0k+056)</c:v>
                </c:pt>
                <c:pt idx="4">
                  <c:v>頂板(0k+003.5~0k+056)</c:v>
                </c:pt>
                <c:pt idx="5">
                  <c:v>台電遷移</c:v>
                </c:pt>
                <c:pt idx="6">
                  <c:v>擋土設施及開挖作業</c:v>
                </c:pt>
                <c:pt idx="7">
                  <c:v>箱涵結構(0k+000~0k+003.5)</c:v>
                </c:pt>
                <c:pt idx="8">
                  <c:v>頂板(0k+000~0k+003.5)</c:v>
                </c:pt>
                <c:pt idx="9">
                  <c:v>銑鋪工程</c:v>
                </c:pt>
                <c:pt idx="10">
                  <c:v>周邊復舊</c:v>
                </c:pt>
                <c:pt idx="11">
                  <c:v>景觀圍牆復舊</c:v>
                </c:pt>
                <c:pt idx="12">
                  <c:v>周圍地坪復舊工程</c:v>
                </c:pt>
                <c:pt idx="13">
                  <c:v>雜項工程</c:v>
                </c:pt>
              </c:strCache>
            </c:strRef>
          </c:cat>
          <c:val>
            <c:numRef>
              <c:f>曲線!$D$13:$D$25</c:f>
              <c:numCache>
                <c:formatCode>0_ </c:formatCode>
                <c:ptCount val="13"/>
                <c:pt idx="0">
                  <c:v>80</c:v>
                </c:pt>
                <c:pt idx="1">
                  <c:v>5</c:v>
                </c:pt>
                <c:pt idx="2">
                  <c:v>15</c:v>
                </c:pt>
                <c:pt idx="3">
                  <c:v>30</c:v>
                </c:pt>
                <c:pt idx="4">
                  <c:v>10</c:v>
                </c:pt>
                <c:pt idx="5">
                  <c:v>0</c:v>
                </c:pt>
                <c:pt idx="6">
                  <c:v>10</c:v>
                </c:pt>
                <c:pt idx="7">
                  <c:v>20</c:v>
                </c:pt>
                <c:pt idx="8">
                  <c:v>10</c:v>
                </c:pt>
                <c:pt idx="9">
                  <c:v>10</c:v>
                </c:pt>
                <c:pt idx="10">
                  <c:v>20</c:v>
                </c:pt>
                <c:pt idx="11">
                  <c:v>10</c:v>
                </c:pt>
                <c:pt idx="12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861-45B0-BC69-5C5BD0430B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97987968"/>
        <c:axId val="98204288"/>
        <c:extLst>
          <c:ext xmlns:c15="http://schemas.microsoft.com/office/drawing/2012/chart" uri="{02D57815-91ED-43cb-92C2-25804820EDAC}">
            <c15:filteredBarSeries>
              <c15:ser>
                <c:idx val="4"/>
                <c:order val="2"/>
                <c:tx>
                  <c:strRef>
                    <c:extLst>
                      <c:ext uri="{02D57815-91ED-43cb-92C2-25804820EDAC}">
                        <c15:formulaRef>
                          <c15:sqref>[2]南港!$AC$7</c15:sqref>
                        </c15:formulaRef>
                      </c:ext>
                    </c:extLst>
                    <c:strCache>
                      <c:ptCount val="1"/>
                      <c:pt idx="0">
                        <c:v>#REF!</c:v>
                      </c:pt>
                    </c:strCache>
                  </c:strRef>
                </c:tx>
                <c:spPr>
                  <a:noFill/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[2]南港!$C$9:$C$21</c15:sqref>
                        </c15:formulaRef>
                      </c:ext>
                    </c:extLst>
                    <c:numCache>
                      <c:formatCode>General</c:formatCode>
                      <c:ptCount val="13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  <c:pt idx="12">
                        <c:v>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[2]南港!$E$21:$E$21</c15:sqref>
                        </c15:formulaRef>
                      </c:ext>
                    </c:extLst>
                    <c:numCache>
                      <c:formatCode>General</c:formatCode>
                      <c:ptCount val="1"/>
                      <c:pt idx="0">
                        <c:v>0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2-5861-45B0-BC69-5C5BD0430B77}"/>
                  </c:ext>
                </c:extLst>
              </c15:ser>
            </c15:filteredBarSeries>
            <c15:filteredBarSeries>
              <c15:ser>
                <c:idx val="5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[2]南港!$D$7</c15:sqref>
                        </c15:formulaRef>
                      </c:ext>
                    </c:extLst>
                    <c:strCache>
                      <c:ptCount val="1"/>
                      <c:pt idx="0">
                        <c:v>#REF!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[2]南港!$C$9:$C$21</c15:sqref>
                        </c15:formulaRef>
                      </c:ext>
                    </c:extLst>
                    <c:numCache>
                      <c:formatCode>General</c:formatCode>
                      <c:ptCount val="13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  <c:pt idx="12">
                        <c:v>0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[2]南港!$D$9:$D$21</c15:sqref>
                        </c15:formulaRef>
                      </c:ext>
                    </c:extLst>
                    <c:numCache>
                      <c:formatCode>General</c:formatCode>
                      <c:ptCount val="13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  <c:pt idx="12">
                        <c:v>0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5861-45B0-BC69-5C5BD0430B77}"/>
                  </c:ext>
                </c:extLst>
              </c15:ser>
            </c15:filteredBarSeries>
          </c:ext>
        </c:extLst>
      </c:barChart>
      <c:catAx>
        <c:axId val="97987968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98204288"/>
        <c:crosses val="autoZero"/>
        <c:auto val="1"/>
        <c:lblAlgn val="ctr"/>
        <c:lblOffset val="100"/>
        <c:noMultiLvlLbl val="0"/>
      </c:catAx>
      <c:valAx>
        <c:axId val="98204288"/>
        <c:scaling>
          <c:orientation val="minMax"/>
          <c:max val="45181"/>
          <c:min val="45061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/d;@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97987968"/>
        <c:crosses val="autoZero"/>
        <c:crossBetween val="between"/>
        <c:majorUnit val="10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zh-TW"/>
    </a:p>
  </c:txPr>
  <c:printSettings>
    <c:headerFooter/>
    <c:pageMargins b="0.75000000000000711" l="0.70000000000000062" r="0.70000000000000062" t="0.75000000000000711" header="0.30000000000000032" footer="0.30000000000000032"/>
    <c:pageSetup orientation="portrait"/>
  </c:printSettings>
</c:chartSpace>
</file>