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509edee226765b1194b853fc7551c33f5ac7ba"/>
    <w:p>
      <w:pPr>
        <w:pStyle w:val="Heading1"/>
      </w:pPr>
      <w:r>
        <w:t xml:space="preserve">Changelog —</w:t>
      </w:r>
      <w:r>
        <w:t xml:space="preserve"> </w:t>
      </w:r>
      <w:r>
        <w:rPr>
          <w:rStyle w:val="VerbatimChar"/>
        </w:rPr>
        <w:t xml:space="preserve">ExplainCircPaper_WORKING_with_AIparam.docx</w:t>
      </w:r>
    </w:p>
    <w:p>
      <w:pPr>
        <w:pStyle w:val="FirstParagraph"/>
      </w:pPr>
      <w:r>
        <w:t xml:space="preserve">Auto-generated working copy of the master</w:t>
      </w:r>
      <w:r>
        <w:t xml:space="preserve"> </w:t>
      </w:r>
      <w:r>
        <w:rPr>
          <w:rStyle w:val="VerbatimChar"/>
        </w:rPr>
        <w:t xml:space="preserve">ExplainCircPaper(27012026)_WPdB_TA_WvM.docx</w:t>
      </w:r>
      <w:r>
        <w:t xml:space="preserve">.</w:t>
      </w:r>
      <w:r>
        <w:t xml:space="preserve"> </w:t>
      </w:r>
      <w:r>
        <w:t xml:space="preserve">All figures, embedded charts, tracked comments (4) and native equations (41) from the</w:t>
      </w:r>
      <w:r>
        <w:t xml:space="preserve"> </w:t>
      </w:r>
      <w:r>
        <w:t xml:space="preserve">master are preserved untouched. This lists every content change.</w:t>
      </w:r>
    </w:p>
    <w:p>
      <w:pPr>
        <w:pStyle w:val="BodyText"/>
      </w:pPr>
      <w:r>
        <w:rPr>
          <w:b/>
          <w:bCs/>
        </w:rPr>
        <w:t xml:space="preserve">Highlighted (yellow) = newly inserted.</w:t>
      </w:r>
      <w:r>
        <w:t xml:space="preserve"> </w:t>
      </w:r>
      <w:r>
        <w:t xml:space="preserve">Inline wording replacements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highlighted (they sit mid-paragraph); they are listed below so nothing is missed.</w:t>
      </w:r>
    </w:p>
    <w:bookmarkStart w:id="9" w:name="inserted-highlighted"/>
    <w:p>
      <w:pPr>
        <w:pStyle w:val="Heading2"/>
      </w:pPr>
      <w:r>
        <w:t xml:space="preserve">Inserted (highlighted)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 §2.4</w:t>
      </w:r>
      <w:r>
        <w:rPr>
          <w:b/>
          <w:bCs/>
        </w:rPr>
        <w:t xml:space="preserve"> </w:t>
      </w:r>
      <w:r>
        <w:rPr>
          <w:b/>
          <w:bCs/>
        </w:rPr>
        <w:t xml:space="preserve">“AI-assisted patient-specific parameterization”</w:t>
      </w:r>
      <w:r>
        <w:t xml:space="preserve"> </w:t>
      </w:r>
      <w:r>
        <w:t xml:space="preserve">— new subsection before RESULTS: problem framing, interpretation layer (LLM), calibration layer, Eq. 13–15 (plain-text placeholders —</w:t>
      </w:r>
      <w:r>
        <w:t xml:space="preserve"> </w:t>
      </w:r>
      <w:r>
        <w:rPr>
          <w:b/>
          <w:bCs/>
        </w:rPr>
        <w:t xml:space="preserve">re-key as native Word equations</w:t>
      </w:r>
      <w:r>
        <w:t xml:space="preserve">), tolerance bands, levers, body-size/seed pass, two entry points.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 X</w:t>
      </w:r>
      <w:r>
        <w:t xml:space="preserve"> </w:t>
      </w:r>
      <w:r>
        <w:t xml:space="preserve">— Calibration levers (real Word table, inserted in §2.4).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Fig. 6</w:t>
      </w:r>
      <w:r>
        <w:t xml:space="preserve"> </w:t>
      </w:r>
      <w:r>
        <w:t xml:space="preserve">— the AI-parameterization pipeline diagram (</w:t>
      </w:r>
      <w:r>
        <w:rPr>
          <w:rStyle w:val="VerbatimChar"/>
        </w:rPr>
        <w:t xml:space="preserve">articles/Fig6_AI_parameterization.png</w:t>
      </w:r>
      <w:r>
        <w:t xml:space="preserve">, editable source</w:t>
      </w:r>
      <w:r>
        <w:t xml:space="preserve"> </w:t>
      </w:r>
      <w:r>
        <w:rPr>
          <w:rStyle w:val="VerbatimChar"/>
        </w:rPr>
        <w:t xml:space="preserve">.svg</w:t>
      </w:r>
      <w:r>
        <w:t xml:space="preserve">) is now embedded in §2.4 with its caption.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“Use of AI in this study.”</w:t>
      </w:r>
      <w:r>
        <w:t xml:space="preserve"> </w:t>
      </w:r>
      <w:r>
        <w:t xml:space="preserve">— formal AI-disclosure paragraph, end of §2.4 (Methods).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Abstract</w:t>
      </w:r>
      <w:r>
        <w:t xml:space="preserve"> </w:t>
      </w:r>
      <w:r>
        <w:t xml:space="preserve">— one sentence on the AI-assisted parameterization pipeline (before</w:t>
      </w:r>
      <w:r>
        <w:t xml:space="preserve"> </w:t>
      </w:r>
      <w:r>
        <w:t xml:space="preserve">“We demonstrate…”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 </w:t>
      </w:r>
      <w:r>
        <w:t xml:space="preserve">— one sentence naming patient-specific parameterization as a second contribution (before the respiratory-model sentence).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§3.1.3 (PH)</w:t>
      </w:r>
      <w:r>
        <w:t xml:space="preserve"> </w:t>
      </w:r>
      <w:r>
        <w:t xml:space="preserve">— appended sentence attributing the PH baseline to the §2.4 pipeline.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§4.1 (Originality)</w:t>
      </w:r>
      <w:r>
        <w:t xml:space="preserve"> </w:t>
      </w:r>
      <w:r>
        <w:t xml:space="preserve">— appended sentences on the parameterization method.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 24–26</w:t>
      </w:r>
      <w:r>
        <w:t xml:space="preserve"> </w:t>
      </w:r>
      <w:r>
        <w:t xml:space="preserve">— Claude (LLM), Claude Agent SDK, Burden &amp; Faires (secant method).</w:t>
      </w:r>
    </w:p>
    <w:bookmarkEnd w:id="9"/>
    <w:bookmarkStart w:id="10" w:name="inline-replacements-not-highlighted"/>
    <w:p>
      <w:pPr>
        <w:pStyle w:val="Heading2"/>
      </w:pPr>
      <w:r>
        <w:t xml:space="preserve">Inline replacements (NOT highlighted)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Abstract:</w:t>
      </w:r>
      <w:r>
        <w:t xml:space="preserve"> </w:t>
      </w:r>
      <w:r>
        <w:t xml:space="preserve">“annotated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source code</w:t>
      </w:r>
      <w:r>
        <w:t xml:space="preserve"> </w:t>
      </w:r>
      <w:r>
        <w:rPr>
          <w:b/>
          <w:bCs/>
        </w:rPr>
        <w:t xml:space="preserve">is provided</w:t>
      </w:r>
      <w:r>
        <w:t xml:space="preserve"> </w:t>
      </w:r>
      <w:r>
        <w:t xml:space="preserve">for researchers…”</w:t>
      </w:r>
      <w:r>
        <w:t xml:space="preserve"> </w:t>
      </w:r>
      <w:r>
        <w:t xml:space="preserve">→</w:t>
      </w:r>
      <w:r>
        <w:t xml:space="preserve"> </w:t>
      </w:r>
      <w:r>
        <w:t xml:space="preserve">“annotated source code</w:t>
      </w:r>
      <w:r>
        <w:t xml:space="preserve"> </w:t>
      </w:r>
      <w:r>
        <w:rPr>
          <w:b/>
          <w:bCs/>
        </w:rPr>
        <w:t xml:space="preserve">is available</w:t>
      </w:r>
      <w:r>
        <w:t xml:space="preserve"> </w:t>
      </w:r>
      <w:r>
        <w:t xml:space="preserve">for researchers…”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Introduction:</w:t>
      </w:r>
      <w:r>
        <w:t xml:space="preserve"> </w:t>
      </w:r>
      <w:r>
        <w:t xml:space="preserve">“The complete source code</w:t>
      </w:r>
      <w:r>
        <w:t xml:space="preserve"> </w:t>
      </w:r>
      <w:r>
        <w:rPr>
          <w:b/>
          <w:bCs/>
        </w:rPr>
        <w:t xml:space="preserve">in Python</w:t>
      </w:r>
      <w:r>
        <w:t xml:space="preserve"> </w:t>
      </w:r>
      <w:r>
        <w:t xml:space="preserve">is available upon request.”</w:t>
      </w:r>
      <w:r>
        <w:t xml:space="preserve"> </w:t>
      </w:r>
      <w:r>
        <w:t xml:space="preserve">→</w:t>
      </w:r>
      <w:r>
        <w:t xml:space="preserve"> </w:t>
      </w:r>
      <w:r>
        <w:t xml:space="preserve">“The complete source code is available upon request.”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§2.3 (intro paragraph):</w:t>
      </w:r>
      <w:r>
        <w:t xml:space="preserve"> </w:t>
      </w:r>
      <w:r>
        <w:t xml:space="preserve">“The source code of the</w:t>
      </w:r>
      <w:r>
        <w:t xml:space="preserve"> </w:t>
      </w:r>
      <w:r>
        <w:rPr>
          <w:b/>
          <w:bCs/>
        </w:rPr>
        <w:t xml:space="preserve">Python implementation of</w:t>
      </w:r>
      <w:r>
        <w:t xml:space="preserve"> </w:t>
      </w:r>
      <w:r>
        <w:t xml:space="preserve">EXPLAIN is available upon request.”</w:t>
      </w:r>
      <w:r>
        <w:t xml:space="preserve"> </w:t>
      </w:r>
      <w:r>
        <w:t xml:space="preserve">→</w:t>
      </w:r>
      <w:r>
        <w:t xml:space="preserve"> </w:t>
      </w:r>
      <w:r>
        <w:t xml:space="preserve">“The EXPLAIN source code is available upon request.”</w:t>
      </w:r>
      <w:r>
        <w:t xml:space="preserve">; removed the clause</w:t>
      </w:r>
      <w:r>
        <w:t xml:space="preserve"> </w:t>
      </w:r>
      <w:r>
        <w:t xml:space="preserve">“and basic knowledge of the programming language</w:t>
      </w:r>
      <w:r>
        <w:t xml:space="preserve"> </w:t>
      </w:r>
      <w:r>
        <w:rPr>
          <w:b/>
          <w:bCs/>
        </w:rPr>
        <w:t xml:space="preserve">Python</w:t>
      </w:r>
      <w:r>
        <w:t xml:space="preserve">,”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§2.3 (developer-environment paragraph):</w:t>
      </w:r>
      <w:r>
        <w:t xml:space="preserve"> </w:t>
      </w:r>
      <w:r>
        <w:t xml:space="preserve">the</w:t>
      </w:r>
      <w:r>
        <w:t xml:space="preserve"> </w:t>
      </w:r>
      <w:r>
        <w:t xml:space="preserve">“interactive</w:t>
      </w:r>
      <w:r>
        <w:t xml:space="preserve"> </w:t>
      </w:r>
      <w:r>
        <w:rPr>
          <w:b/>
          <w:bCs/>
        </w:rPr>
        <w:t xml:space="preserve">Python notebook</w:t>
      </w:r>
      <w:r>
        <w:t xml:space="preserve">…”</w:t>
      </w:r>
      <w:r>
        <w:t xml:space="preserve"> </w:t>
      </w:r>
      <w:r>
        <w:t xml:space="preserve">paragraph replaced with the actual JS/TS ES-module engine + Web Worker + Vue web-app description (Block E).</w:t>
      </w:r>
      <w:r>
        <w:t xml:space="preserve"> </w:t>
      </w:r>
      <w:r>
        <w:rPr>
          <w:i/>
          <w:iCs/>
        </w:rPr>
        <w:t xml:space="preserve">(This paragraph is highlighted since it is effectively new text.)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§3.1.2 (PDA):</w:t>
      </w:r>
      <w:r>
        <w:t xml:space="preserve"> </w:t>
      </w:r>
      <w:r>
        <w:t xml:space="preserve">“EXPLAIN’s model parameters were rescaled … with minor additional tuning of arterial resistances.”</w:t>
      </w:r>
      <w:r>
        <w:t xml:space="preserve"> </w:t>
      </w:r>
      <w:r>
        <w:t xml:space="preserve">→ reframed as the §2.4 AI-driven closed-loop pipeline (allometric scaling + secant lever calibration to the Bischoff targets).</w:t>
      </w:r>
      <w:r>
        <w:t xml:space="preserve"> </w:t>
      </w:r>
      <w:r>
        <w:rPr>
          <w:b/>
          <w:bCs/>
        </w:rPr>
        <w:t xml:space="preserve">No reported numbers changed.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§4.5 (Future work):</w:t>
      </w:r>
      <w:r>
        <w:t xml:space="preserve"> </w:t>
      </w:r>
      <w:r>
        <w:t xml:space="preserve">the</w:t>
      </w:r>
      <w:r>
        <w:t xml:space="preserve"> </w:t>
      </w:r>
      <w:r>
        <w:t xml:space="preserve">“…parameter-optimization pipelines … using machine-learning and other artificial-intelligence–based approaches.”</w:t>
      </w:r>
      <w:r>
        <w:t xml:space="preserve"> </w:t>
      </w:r>
      <w:r>
        <w:t xml:space="preserve">sentence → refocused on sensitivity analysis, joint multi-target optimization, and prospective validation (the pipeline is now described as implemented in §2.4).</w:t>
      </w:r>
    </w:p>
    <w:bookmarkEnd w:id="10"/>
    <w:bookmarkStart w:id="11" w:name="author-to-do-before-submission"/>
    <w:p>
      <w:pPr>
        <w:pStyle w:val="Heading2"/>
      </w:pPr>
      <w:r>
        <w:t xml:space="preserve">Author to-do before submission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Re-key Eq. 13–15</w:t>
      </w:r>
      <w:r>
        <w:t xml:space="preserve"> </w:t>
      </w:r>
      <w:r>
        <w:t xml:space="preserve">as native OMML equations (currently plain-text placeholders prefixed</w:t>
      </w:r>
      <w:r>
        <w:t xml:space="preserve"> </w:t>
      </w:r>
      <w:r>
        <w:t xml:space="preserve">“[re-key as native equation]”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Fig. 6</w:t>
      </w:r>
      <w:r>
        <w:t xml:space="preserve"> </w:t>
      </w:r>
      <w:r>
        <w:t xml:space="preserve">is embedded (auto-generated). If you want it in the OmniGraffle house style, redraw from</w:t>
      </w:r>
      <w:r>
        <w:t xml:space="preserve"> </w:t>
      </w:r>
      <w:r>
        <w:rPr>
          <w:rStyle w:val="VerbatimChar"/>
        </w:rPr>
        <w:t xml:space="preserve">articles/Fig6_AI_parameterization.svg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.umdx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Refs 24–25</w:t>
      </w:r>
      <w:r>
        <w:t xml:space="preserve">: set exact Claude model/version + access date; format per the journal’s software/AI-citation style. If van Meurs [10] is preferred for the secant method, drop ref 26 and cite [10] at Eq. 13–14.</w:t>
      </w:r>
    </w:p>
    <w:p>
      <w:pPr>
        <w:pStyle w:val="Compact"/>
        <w:numPr>
          <w:ilvl w:val="0"/>
          <w:numId w:val="1003"/>
        </w:numPr>
      </w:pPr>
      <w:r>
        <w:t xml:space="preserve">Springer Nature / ICMJE: the AI-disclosure paragraph in §2.4 covers method use; confirm placement (Methods vs a dedicated declarations section) against the journal’s current policy. No AI authorship is claimed.</w:t>
      </w:r>
    </w:p>
    <w:p>
      <w:pPr>
        <w:pStyle w:val="Compact"/>
        <w:numPr>
          <w:ilvl w:val="0"/>
          <w:numId w:val="1003"/>
        </w:numPr>
      </w:pPr>
      <w:r>
        <w:t xml:space="preserve">Optionally convert the highlighted insertions into tracked changes if you want a reviewable diff against the master.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2026-07-10T07:58:26Z</dcterms:created>
  <dcterms:modified xsi:type="dcterms:W3CDTF">2026-07-10T07:58:26Z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