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a1ea004a131c9359c425ed9f21c7182dab43e1"/>
    <w:p>
      <w:pPr>
        <w:pStyle w:val="Heading1"/>
      </w:pPr>
      <w:r>
        <w:t xml:space="preserve">EXPLAIN paper series — shared Methods blocks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Reusable, verified Methods text common to every paper in the EXPLAIN series</w:t>
      </w:r>
      <w:r>
        <w:t xml:space="preserve"> </w:t>
      </w:r>
      <w:r>
        <w:t xml:space="preserve">(circulatory, respiratory, other systems, AI parameterization, devices). Each paper imports</w:t>
      </w:r>
      <w:r>
        <w:t xml:space="preserve"> </w:t>
      </w:r>
      <w:r>
        <w:t xml:space="preserve">the blocks it needs and adapts wording; the goal is that identical machinery is described</w:t>
      </w:r>
      <w:r>
        <w:t xml:space="preserve"> </w:t>
      </w:r>
      <w:r>
        <w:t xml:space="preserve">identically across the series and cross-referenced rather than re-derived. Every claim here</w:t>
      </w:r>
      <w:r>
        <w:t xml:space="preserve"> </w:t>
      </w:r>
      <w:r>
        <w:t xml:space="preserve">is taken directly from the engine source (paths given). Draft in Markdown; authors re-key</w:t>
      </w:r>
      <w:r>
        <w:t xml:space="preserve"> </w:t>
      </w:r>
      <w:r>
        <w:t xml:space="preserve">equations as native Word (OMML) objects for submission, matching Eqs. 1–12 of the</w:t>
      </w:r>
      <w:r>
        <w:t xml:space="preserve"> </w:t>
      </w:r>
      <w:r>
        <w:t xml:space="preserve">cardiovascular paper.</w:t>
      </w:r>
    </w:p>
    <w:p>
      <w:pPr>
        <w:pStyle w:val="BodyText"/>
      </w:pPr>
      <w:r>
        <w:t xml:space="preserve">Paper-1 anchor for style/notation:</w:t>
      </w:r>
      <w:r>
        <w:t xml:space="preserve"> </w:t>
      </w:r>
      <w:r>
        <w:rPr>
          <w:rStyle w:val="VerbatimChar"/>
        </w:rPr>
        <w:t xml:space="preserve">articles/ExplainCircPaper(27012026)_WPdB_TA_WvM.docx</w:t>
      </w:r>
      <w:r>
        <w:t xml:space="preserve"> </w:t>
      </w:r>
      <w:r>
        <w:t xml:space="preserve">(+ working copy with AI-parameterization additions). Insert-ready source blocks:</w:t>
      </w:r>
      <w:r>
        <w:t xml:space="preserve"> </w:t>
      </w:r>
      <w:r>
        <w:rPr>
          <w:rStyle w:val="VerbatimChar"/>
        </w:rPr>
        <w:t xml:space="preserve">articles/circ-paper-additions.md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a308787a3ad72c42173c80e60a73ed8ef6436fc"/>
    <w:p>
      <w:pPr>
        <w:pStyle w:val="Heading2"/>
      </w:pPr>
      <w:r>
        <w:t xml:space="preserve">S1. Notation and units (match cardiovascular paper Table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(continuous)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/ breath cycle index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step size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s (default 0.0005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Unstressed (dead) volume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</w:t>
            </w:r>
            <w:r>
              <w:t xml:space="preserve">ᵤ (</w:t>
            </w:r>
            <w:r>
              <w:rPr>
                <w:rStyle w:val="VerbatimChar"/>
              </w:rPr>
              <w:t xml:space="preserve">u_vol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Elastance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mmHg·L⁻¹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Resistance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mmHg·s·L⁻¹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L·s⁻¹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partial pressure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fraction / concentration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fraction, mmol·L⁻¹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/ CO₂ blood content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  <w:r>
              <w:t xml:space="preserve">O₂,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mmol·L⁻¹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Diffusion constant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dif_*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mmol·mmHg⁻¹·s⁻¹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</w:tbl>
    <w:p>
      <w:pPr>
        <w:pStyle w:val="BodyText"/>
      </w:pPr>
      <w:r>
        <w:t xml:space="preserve">Compartment abbreviations (LA, LV, RA, RV, AA, PA, DS, ALV, …) are uppercase and defined at</w:t>
      </w:r>
      <w:r>
        <w:t xml:space="preserve"> </w:t>
      </w:r>
      <w:r>
        <w:t xml:space="preserve">first use and in each figure caption, as in the cardiovascular paper. Equations are numbered</w:t>
      </w:r>
      <w:r>
        <w:t xml:space="preserve"> </w:t>
      </w:r>
      <w:r>
        <w:t xml:space="preserve">per paper; the cardiovascular paper uses 1–15 (12 model + 3 AI-parameterization), so</w:t>
      </w:r>
      <w:r>
        <w:t xml:space="preserve"> </w:t>
      </w:r>
      <w:r>
        <w:t xml:space="preserve">companion papers start their own sequence.</w:t>
      </w:r>
    </w:p>
    <w:p>
      <w:r>
        <w:pict>
          <v:rect style="width:0;height:1.5pt" o:hralign="center" o:hrstd="t" o:hr="t"/>
        </w:pict>
      </w:r>
    </w:p>
    <w:bookmarkEnd w:id="9"/>
    <w:bookmarkStart w:id="10" w:name="Xf5e3715d840809004608429cfca9aa37ee4fce2"/>
    <w:p>
      <w:pPr>
        <w:pStyle w:val="Heading2"/>
      </w:pPr>
      <w:r>
        <w:t xml:space="preserve">S2. The factor / effective-value pattern (the composability substrate)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docs/engine/ARCHITECTURE.md §7a</w:t>
      </w:r>
      <w:r>
        <w:t xml:space="preserve">;</w:t>
      </w:r>
      <w:r>
        <w:t xml:space="preserve"> </w:t>
      </w:r>
      <w:r>
        <w:rPr>
          <w:rStyle w:val="VerbatimChar"/>
        </w:rPr>
        <w:t xml:space="preserve">explain/base_models/{Capacitance,Resistor}.js</w:t>
      </w:r>
      <w:r>
        <w:t xml:space="preserve">.</w:t>
      </w:r>
    </w:p>
    <w:p>
      <w:pPr>
        <w:pStyle w:val="BodyText"/>
      </w:pPr>
      <w:r>
        <w:t xml:space="preserve">Every tunable physical parameter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(elastances, resistances, unstressed volumes, diffusion</w:t>
      </w:r>
      <w:r>
        <w:t xml:space="preserve"> </w:t>
      </w:r>
      <w:r>
        <w:t xml:space="preserve">constants, …) is never used raw. Its</w:t>
      </w:r>
      <w:r>
        <w:t xml:space="preserve"> </w:t>
      </w:r>
      <w:r>
        <w:rPr>
          <w:b/>
          <w:bCs/>
        </w:rPr>
        <w:t xml:space="preserve">effective value</w:t>
      </w:r>
      <w:r>
        <w:t xml:space="preserve"> </w:t>
      </w:r>
      <w:r>
        <w:rPr>
          <w:i/>
          <w:iCs/>
        </w:rPr>
        <w:t xml:space="preserve">p</w:t>
      </w:r>
      <w:r>
        <w:t xml:space="preserve">_eff combines the base value with</w:t>
      </w:r>
      <w:r>
        <w:t xml:space="preserve"> </w:t>
      </w:r>
      <w:r>
        <w:t xml:space="preserve">three multiplicative layers, each entering</w:t>
      </w:r>
      <w:r>
        <w:t xml:space="preserve"> </w:t>
      </w:r>
      <w:r>
        <w:rPr>
          <w:b/>
          <w:bCs/>
        </w:rPr>
        <w:t xml:space="preserve">additively</w:t>
      </w:r>
      <w:r>
        <w:t xml:space="preserve"> </w:t>
      </w:r>
      <w:r>
        <w:t xml:space="preserve">relative to the base:</w:t>
      </w:r>
    </w:p>
    <w:p>
      <w:pPr>
        <w:pStyle w:val="BlockText"/>
      </w:pPr>
      <w:r>
        <w:rPr>
          <w:b/>
          <w:bCs/>
        </w:rPr>
        <w:t xml:space="preserve">(S1)</w:t>
      </w:r>
      <w:r>
        <w:t xml:space="preserve"> </w:t>
      </w:r>
      <w:r>
        <w:rPr>
          <w:i/>
          <w:iCs/>
        </w:rPr>
        <w:t xml:space="preserve">p</w:t>
      </w:r>
      <w:r>
        <w:t xml:space="preserve">_eff =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+ (</w:t>
      </w:r>
      <w:r>
        <w:rPr>
          <w:i/>
          <w:iCs/>
        </w:rPr>
        <w:t xml:space="preserve">k</w:t>
      </w:r>
      <w:r>
        <w:t xml:space="preserve"> </w:t>
      </w:r>
      <w:r>
        <w:t xml:space="preserve">− 1)·</w:t>
      </w:r>
      <w:r>
        <w:rPr>
          <w:i/>
          <w:iCs/>
        </w:rPr>
        <w:t xml:space="preserve">p</w:t>
      </w:r>
      <w:r>
        <w:t xml:space="preserve"> </w:t>
      </w:r>
      <w:r>
        <w:t xml:space="preserve">+ (</w:t>
      </w:r>
      <w:r>
        <w:rPr>
          <w:i/>
          <w:iCs/>
        </w:rPr>
        <w:t xml:space="preserve">k</w:t>
      </w:r>
      <w:r>
        <w:t xml:space="preserve">ₚ − 1)·</w:t>
      </w:r>
      <w:r>
        <w:rPr>
          <w:i/>
          <w:iCs/>
        </w:rPr>
        <w:t xml:space="preserve">p</w:t>
      </w:r>
      <w:r>
        <w:t xml:space="preserve"> </w:t>
      </w:r>
      <w:r>
        <w:t xml:space="preserve">+ (</w:t>
      </w:r>
      <w:r>
        <w:rPr>
          <w:i/>
          <w:iCs/>
        </w:rPr>
        <w:t xml:space="preserve">k</w:t>
      </w:r>
      <w:r>
        <w:t xml:space="preserve">ₛ − 1)·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· (</w:t>
      </w:r>
      <w:r>
        <w:rPr>
          <w:i/>
          <w:iCs/>
        </w:rPr>
        <w:t xml:space="preserve">k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k</w:t>
      </w:r>
      <w:r>
        <w:t xml:space="preserve">ₚ +</w:t>
      </w:r>
      <w:r>
        <w:t xml:space="preserve"> </w:t>
      </w:r>
      <w:r>
        <w:rPr>
          <w:i/>
          <w:iCs/>
        </w:rPr>
        <w:t xml:space="preserve">k</w:t>
      </w:r>
      <w:r>
        <w:t xml:space="preserve">ₛ − 2)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&lt;p&gt;_factor</w:t>
      </w:r>
      <w:r>
        <w:t xml:space="preserve">) —</w:t>
      </w:r>
      <w:r>
        <w:t xml:space="preserve"> </w:t>
      </w:r>
      <w:r>
        <w:rPr>
          <w:b/>
          <w:bCs/>
        </w:rPr>
        <w:t xml:space="preserve">non-persistent</w:t>
      </w:r>
      <w:r>
        <w:t xml:space="preserve">; reset to 1.0 at the end of every step. Carries</w:t>
      </w:r>
      <w:r>
        <w:t xml:space="preserve"> </w:t>
      </w:r>
      <w:r>
        <w:t xml:space="preserve">transient interventions.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</w:t>
      </w:r>
      <w:r>
        <w:t xml:space="preserve">ₚ (</w:t>
      </w:r>
      <w:r>
        <w:rPr>
          <w:rStyle w:val="VerbatimChar"/>
        </w:rPr>
        <w:t xml:space="preserve">&lt;p&gt;_factor_ps</w:t>
      </w:r>
      <w:r>
        <w:t xml:space="preserve">) —</w:t>
      </w:r>
      <w:r>
        <w:t xml:space="preserve"> </w:t>
      </w:r>
      <w:r>
        <w:rPr>
          <w:b/>
          <w:bCs/>
        </w:rPr>
        <w:t xml:space="preserve">persistent</w:t>
      </w:r>
      <w:r>
        <w:t xml:space="preserve">; user/scenario adjustments (survives steps).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</w:t>
      </w:r>
      <w:r>
        <w:t xml:space="preserve">ₛ (scaling layer) —</w:t>
      </w:r>
      <w:r>
        <w:t xml:space="preserve"> </w:t>
      </w:r>
      <w:r>
        <w:rPr>
          <w:b/>
          <w:bCs/>
        </w:rPr>
        <w:t xml:space="preserve">persistent</w:t>
      </w:r>
      <w:r>
        <w:t xml:space="preserve">; written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the allometric scaler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ModelScaler</w:t>
      </w:r>
      <w:r>
        <w:t xml:space="preserve">), never by the user layer.</w:t>
      </w:r>
    </w:p>
    <w:p>
      <w:pPr>
        <w:pStyle w:val="BodyText"/>
      </w:pPr>
      <w:r>
        <w:t xml:space="preserve">This three-layer decomposition is what lets a scenario, a transient intervention, an</w:t>
      </w:r>
      <w:r>
        <w:t xml:space="preserve"> </w:t>
      </w:r>
      <w:r>
        <w:t xml:space="preserve">allometric body-size scaling, and an AI-driven calibration step all act on the same</w:t>
      </w:r>
      <w:r>
        <w:t xml:space="preserve"> </w:t>
      </w:r>
      <w:r>
        <w:t xml:space="preserve">parameter</w:t>
      </w:r>
      <w:r>
        <w:t xml:space="preserve"> </w:t>
      </w:r>
      <w:r>
        <w:rPr>
          <w:b/>
          <w:bCs/>
        </w:rPr>
        <w:t xml:space="preserve">without overwriting one another</w:t>
      </w:r>
      <w:r>
        <w:t xml:space="preserve"> </w:t>
      </w:r>
      <w:r>
        <w:t xml:space="preserve">— the property that the parameterization</w:t>
      </w:r>
      <w:r>
        <w:t xml:space="preserve"> </w:t>
      </w:r>
      <w:r>
        <w:t xml:space="preserve">method (companion</w:t>
      </w:r>
      <w:r>
        <w:t xml:space="preserve"> </w:t>
      </w:r>
      <w:r>
        <w:t xml:space="preserve">“AI parameterization”</w:t>
      </w:r>
      <w:r>
        <w:t xml:space="preserve"> </w:t>
      </w:r>
      <w:r>
        <w:t xml:space="preserve">paper) exploits: calibration writes the</w:t>
      </w:r>
      <w:r>
        <w:t xml:space="preserve"> </w:t>
      </w:r>
      <w:r>
        <w:rPr>
          <w:i/>
          <w:iCs/>
        </w:rPr>
        <w:t xml:space="preserve">k</w:t>
      </w:r>
      <w:r>
        <w:t xml:space="preserve">ₚ layer</w:t>
      </w:r>
      <w:r>
        <w:t xml:space="preserve"> </w:t>
      </w:r>
      <w:r>
        <w:t xml:space="preserve">and composes on top of whatever</w:t>
      </w:r>
      <w:r>
        <w:t xml:space="preserve"> </w:t>
      </w:r>
      <w:r>
        <w:rPr>
          <w:i/>
          <w:iCs/>
        </w:rPr>
        <w:t xml:space="preserve">k</w:t>
      </w:r>
      <w:r>
        <w:t xml:space="preserve">ₛ scaling a patient was built with.</w:t>
      </w:r>
    </w:p>
    <w:p>
      <w:pPr>
        <w:pStyle w:val="BodyText"/>
      </w:pPr>
      <w:r>
        <w:rPr>
          <w:b/>
          <w:bCs/>
        </w:rPr>
        <w:t xml:space="preserve">Caveat on the scaling-layer name (verify before citing):</w:t>
      </w:r>
      <w:r>
        <w:t xml:space="preserve"> </w:t>
      </w:r>
      <w:r>
        <w:t xml:space="preserve">the capacitance / resistor /</w:t>
      </w:r>
      <w:r>
        <w:t xml:space="preserve"> </w:t>
      </w:r>
      <w:r>
        <w:t xml:space="preserve">time-varying-elastance family names the scaling layer</w:t>
      </w:r>
      <w:r>
        <w:t xml:space="preserve"> </w:t>
      </w:r>
      <w:r>
        <w:rPr>
          <w:rStyle w:val="VerbatimChar"/>
        </w:rPr>
        <w:t xml:space="preserve">*_factor_scaling_ps</w:t>
      </w:r>
      <w:r>
        <w:t xml:space="preserve">, whereas the</w:t>
      </w:r>
      <w:r>
        <w:t xml:space="preserve"> </w:t>
      </w:r>
      <w:r>
        <w:t xml:space="preserve">diffusor / exchanger family (</w:t>
      </w:r>
      <w:r>
        <w:rPr>
          <w:rStyle w:val="VerbatimChar"/>
        </w:rPr>
        <w:t xml:space="preserve">GasExchanger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GasDiffusor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BloodDiffusor</w:t>
      </w:r>
      <w:r>
        <w:t xml:space="preserve">) names it</w:t>
      </w:r>
      <w:r>
        <w:t xml:space="preserve"> </w:t>
      </w:r>
      <w:r>
        <w:rPr>
          <w:rStyle w:val="VerbatimChar"/>
        </w:rPr>
        <w:t xml:space="preserve">*_factor_scaling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_ps</w:t>
      </w:r>
      <w:r>
        <w:t xml:space="preserve">). Same role in Eq. (S1); different suffix.</w:t>
      </w:r>
    </w:p>
    <w:p>
      <w:r>
        <w:pict>
          <v:rect style="width:0;height:1.5pt" o:hralign="center" o:hrstd="t" o:hr="t"/>
        </w:pict>
      </w:r>
    </w:p>
    <w:bookmarkEnd w:id="10"/>
    <w:bookmarkStart w:id="11" w:name="Xdea69a6c7e5c4b12f59f6556e953f922934b255"/>
    <w:p>
      <w:pPr>
        <w:pStyle w:val="Heading2"/>
      </w:pPr>
      <w:r>
        <w:t xml:space="preserve">S3. Composition transport by advective mixing (no global solver)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docs/engine/ARCHITECTURE.md §7c</w:t>
      </w:r>
      <w:r>
        <w:t xml:space="preserve">;</w:t>
      </w:r>
      <w:r>
        <w:t xml:space="preserve"> </w:t>
      </w:r>
      <w:r>
        <w:rPr>
          <w:rStyle w:val="VerbatimChar"/>
        </w:rPr>
        <w:t xml:space="preserve">explain/component_models/BloodCapacitance.js</w:t>
      </w:r>
      <w:r>
        <w:t xml:space="preserve">.</w:t>
      </w:r>
    </w:p>
    <w:p>
      <w:pPr>
        <w:pStyle w:val="BodyText"/>
      </w:pPr>
      <w:r>
        <w:t xml:space="preserve">There is no global transport solver. Substances ride the volume flow. When a resistor moves</w:t>
      </w:r>
      <w:r>
        <w:t xml:space="preserve"> </w:t>
      </w:r>
      <w:r>
        <w:t xml:space="preserve">a volume Δ</w:t>
      </w:r>
      <w:r>
        <w:rPr>
          <w:i/>
          <w:iCs/>
        </w:rPr>
        <w:t xml:space="preserve">V</w:t>
      </w:r>
      <w:r>
        <w:t xml:space="preserve"> </w:t>
      </w:r>
      <w:r>
        <w:t xml:space="preserve">from compartment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into compartment</w:t>
      </w:r>
      <w:r>
        <w:t xml:space="preserve"> </w:t>
      </w:r>
      <w:r>
        <w:rPr>
          <w:i/>
          <w:iCs/>
        </w:rPr>
        <w:t xml:space="preserve">B</w:t>
      </w:r>
      <w:r>
        <w:t xml:space="preserve">,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updates each carried</w:t>
      </w:r>
      <w:r>
        <w:t xml:space="preserve"> </w:t>
      </w:r>
      <w:r>
        <w:t xml:space="preserve">concentration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by the incoming-volume fraction:</w:t>
      </w:r>
    </w:p>
    <w:p>
      <w:pPr>
        <w:pStyle w:val="BlockText"/>
      </w:pPr>
      <w:r>
        <w:rPr>
          <w:b/>
          <w:bCs/>
        </w:rPr>
        <w:t xml:space="preserve">(S2)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←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+ (</w:t>
      </w:r>
      <w:r>
        <w:rPr>
          <w:i/>
          <w:iCs/>
        </w:rPr>
        <w:t xml:space="preserve">c</w:t>
      </w:r>
      <w:r>
        <w:t xml:space="preserve">ₐ −</w:t>
      </w:r>
      <w:r>
        <w:t xml:space="preserve"> </w:t>
      </w:r>
      <w:r>
        <w:rPr>
          <w:i/>
          <w:iCs/>
        </w:rPr>
        <w:t xml:space="preserve">c</w:t>
      </w:r>
      <w:r>
        <w:t xml:space="preserve">)·Δ</w:t>
      </w:r>
      <w:r>
        <w:rPr>
          <w:i/>
          <w:iCs/>
        </w:rPr>
        <w:t xml:space="preserve">V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V</w:t>
      </w:r>
    </w:p>
    <w:p>
      <w:pPr>
        <w:pStyle w:val="FirstParagraph"/>
      </w:pPr>
      <w:r>
        <w:t xml:space="preserve">applied to</w:t>
      </w:r>
      <w:r>
        <w:t xml:space="preserve"> </w:t>
      </w:r>
      <w:r>
        <w:rPr>
          <w:i/>
          <w:iCs/>
        </w:rPr>
        <w:t xml:space="preserve">t</w:t>
      </w:r>
      <w:r>
        <w:t xml:space="preserve">O₂,</w:t>
      </w:r>
      <w:r>
        <w:t xml:space="preserve"> </w:t>
      </w:r>
      <w:r>
        <w:rPr>
          <w:i/>
          <w:iCs/>
        </w:rPr>
        <w:t xml:space="preserve">t</w:t>
      </w:r>
      <w:r>
        <w:t xml:space="preserve">CO₂, every strong-ion/solute, every drug, and to temperature and</w:t>
      </w:r>
      <w:r>
        <w:t xml:space="preserve"> </w:t>
      </w:r>
      <w:r>
        <w:t xml:space="preserve">viscosity (treated as solutes). Gas compartments propagate analogously via partial-</w:t>
      </w:r>
      <w:r>
        <w:t xml:space="preserve"> </w:t>
      </w:r>
      <w:r>
        <w:t xml:space="preserve">pressure-driven diffusion (companion respiratory paper). Eq. (S2) is how blood gases,</w:t>
      </w:r>
      <w:r>
        <w:t xml:space="preserve"> </w:t>
      </w:r>
      <w:r>
        <w:t xml:space="preserve">electrolytes, drugs and heat distribute through the circuit as a consequence of flow.</w:t>
      </w:r>
    </w:p>
    <w:p>
      <w:r>
        <w:pict>
          <v:rect style="width:0;height:1.5pt" o:hralign="center" o:hrstd="t" o:hr="t"/>
        </w:pict>
      </w:r>
    </w:p>
    <w:bookmarkEnd w:id="11"/>
    <w:bookmarkStart w:id="12" w:name="X6f02c7b5bcde313832fa4fd2ba8e5fcf401654f"/>
    <w:p>
      <w:pPr>
        <w:pStyle w:val="Heading2"/>
      </w:pPr>
      <w:r>
        <w:t xml:space="preserve">S4. Cycle counters live on the engine object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docs/engine/ARCHITECTURE.md §7b</w:t>
      </w:r>
      <w:r>
        <w:t xml:space="preserve">. Cardiac, breathing and ventilator timing use</w:t>
      </w:r>
      <w:r>
        <w:t xml:space="preserve"> </w:t>
      </w:r>
      <w:r>
        <w:t xml:space="preserve">integer counters held on the engine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object, not on the components:</w:t>
      </w:r>
      <w:r>
        <w:t xml:space="preserve"> </w:t>
      </w:r>
      <w:r>
        <w:rPr>
          <w:rStyle w:val="VerbatimChar"/>
        </w:rPr>
        <w:t xml:space="preserve">ncc_atrial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ncc_ventricular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ncc_breathing_insp/exp</w:t>
      </w:r>
      <w:r>
        <w:t xml:space="preserve">,</w:t>
      </w:r>
      <w:r>
        <w:t xml:space="preserve"> </w:t>
      </w:r>
      <w:r>
        <w:rPr>
          <w:rStyle w:val="VerbatimChar"/>
        </w:rPr>
        <w:t xml:space="preserve">ncc_ventilator_insp/exp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Heart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Breathing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Ventilator</w:t>
      </w:r>
      <w:r>
        <w:t xml:space="preserve"> </w:t>
      </w:r>
      <w:r>
        <w:t xml:space="preserve">models read/advance them through the shared engine</w:t>
      </w:r>
      <w:r>
        <w:t xml:space="preserve"> </w:t>
      </w:r>
      <w:r>
        <w:t xml:space="preserve">reference, which is how the cardiac, spontaneous-breathing and mechanical-ventilation cycles</w:t>
      </w:r>
      <w:r>
        <w:t xml:space="preserve"> </w:t>
      </w:r>
      <w:r>
        <w:t xml:space="preserve">stay phase-locked to a single clock.</w:t>
      </w:r>
    </w:p>
    <w:p>
      <w:r>
        <w:pict>
          <v:rect style="width:0;height:1.5pt" o:hralign="center" o:hrstd="t" o:hr="t"/>
        </w:pict>
      </w:r>
    </w:p>
    <w:bookmarkEnd w:id="12"/>
    <w:bookmarkStart w:id="13" w:name="X0d85fe7927f3cbd11db8ba3aa3e00d497b36a9d"/>
    <w:p>
      <w:pPr>
        <w:pStyle w:val="Heading2"/>
      </w:pPr>
      <w:r>
        <w:t xml:space="preserve">S5. Software implementation (reuse verbatim; from circ-paper Block E)</w:t>
      </w:r>
    </w:p>
    <w:p>
      <w:pPr>
        <w:pStyle w:val="BlockText"/>
      </w:pPr>
      <w:r>
        <w:t xml:space="preserve">EXPLAIN is implemented as a framework-agnostic simulation engine written in</w:t>
      </w:r>
      <w:r>
        <w:t xml:space="preserve"> </w:t>
      </w:r>
      <w:r>
        <w:t xml:space="preserve">JavaScript/TypeScript. The engine runs inside a Web Worker — a background execution thread</w:t>
      </w:r>
      <w:r>
        <w:t xml:space="preserve"> </w:t>
      </w:r>
      <w:r>
        <w:t xml:space="preserve">separate from the user interface — and communicates with the application through a simple</w:t>
      </w:r>
      <w:r>
        <w:t xml:space="preserve"> </w:t>
      </w:r>
      <w:r>
        <w:t xml:space="preserve">message-passing protocol, so that the physics loop advances independently of rendering and</w:t>
      </w:r>
      <w:r>
        <w:t xml:space="preserve"> </w:t>
      </w:r>
      <w:r>
        <w:t xml:space="preserve">user interaction and the model can run in real time in a standard web browser. Each</w:t>
      </w:r>
      <w:r>
        <w:t xml:space="preserve"> </w:t>
      </w:r>
      <w:r>
        <w:t xml:space="preserve">physiological component is a small, self-contained module that implements the equations of</w:t>
      </w:r>
      <w:r>
        <w:t xml:space="preserve"> </w:t>
      </w:r>
      <w:r>
        <w:t xml:space="preserve">the Methods; complete scenarios (baseline anatomy, parameters and initial state) are</w:t>
      </w:r>
      <w:r>
        <w:t xml:space="preserve"> </w:t>
      </w:r>
      <w:r>
        <w:t xml:space="preserve">defined declaratively as JSON model definitions, which makes patient profiles and</w:t>
      </w:r>
      <w:r>
        <w:t xml:space="preserve"> </w:t>
      </w:r>
      <w:r>
        <w:t xml:space="preserve">structural variants straightforward to inspect, share and modify. The interactive</w:t>
      </w:r>
      <w:r>
        <w:t xml:space="preserve"> </w:t>
      </w:r>
      <w:r>
        <w:t xml:space="preserve">application, built on the Vue framework, presents the animated model, parameter editors and</w:t>
      </w:r>
      <w:r>
        <w:t xml:space="preserve"> </w:t>
      </w:r>
      <w:r>
        <w:t xml:space="preserve">clinical monitors, and is freely available at https://explain-user.com. The engine source</w:t>
      </w:r>
      <w:r>
        <w:t xml:space="preserve"> </w:t>
      </w:r>
      <w:r>
        <w:t xml:space="preserve">code is extensively annotated and available upon request.</w:t>
      </w:r>
    </w:p>
    <w:p>
      <w:pPr>
        <w:pStyle w:val="FirstParagraph"/>
      </w:pPr>
      <w:r>
        <w:t xml:space="preserve">Structure of one step (all papers): each model’s</w:t>
      </w:r>
      <w:r>
        <w:t xml:space="preserve"> </w:t>
      </w:r>
      <w:r>
        <w:rPr>
          <w:rStyle w:val="VerbatimChar"/>
        </w:rPr>
        <w:t xml:space="preserve">step_model()</w:t>
      </w:r>
      <w:r>
        <w:t xml:space="preserve"> </w:t>
      </w:r>
      <w:r>
        <w:t xml:space="preserve">runs in insertion order</w:t>
      </w:r>
      <w:r>
        <w:t xml:space="preserve"> </w:t>
      </w:r>
      <w:r>
        <w:t xml:space="preserve">(gated on</w:t>
      </w:r>
      <w:r>
        <w:t xml:space="preserve"> </w:t>
      </w:r>
      <w:r>
        <w:rPr>
          <w:rStyle w:val="VerbatimChar"/>
        </w:rPr>
        <w:t xml:space="preserve">is_enabled</w:t>
      </w:r>
      <w:r>
        <w:t xml:space="preserve"> </w:t>
      </w:r>
      <w:r>
        <w:t xml:space="preserve">and initialization), executing its</w:t>
      </w:r>
      <w:r>
        <w:t xml:space="preserve"> </w:t>
      </w:r>
      <w:r>
        <w:rPr>
          <w:rStyle w:val="VerbatimChar"/>
        </w:rPr>
        <w:t xml:space="preserve">calc_model()</w:t>
      </w:r>
      <w:r>
        <w:t xml:space="preserve">; a data collector</w:t>
      </w:r>
      <w:r>
        <w:t xml:space="preserve"> </w:t>
      </w:r>
      <w:r>
        <w:t xml:space="preserve">then samples watched signals, deferred tasks run, and model time advances by Δt.</w:t>
      </w:r>
      <w:r>
        <w:t xml:space="preserve"> </w:t>
      </w:r>
      <w:r>
        <w:rPr>
          <w:rStyle w:val="VerbatimChar"/>
        </w:rPr>
        <w:t xml:space="preserve">calc(s)</w:t>
      </w:r>
      <w:r>
        <w:t xml:space="preserve"> </w:t>
      </w:r>
      <w:r>
        <w:t xml:space="preserve">runs</w:t>
      </w:r>
      <w:r>
        <w:t xml:space="preserve"> </w:t>
      </w:r>
      <w:r>
        <w:rPr>
          <w:i/>
          <w:iCs/>
        </w:rPr>
        <w:t xml:space="preserve">s</w:t>
      </w:r>
      <w:r>
        <w:t xml:space="preserve">/Δt steps synchronously; real-time mode batches steps on a wall-clock interval.</w:t>
      </w:r>
    </w:p>
    <w:p>
      <w:r>
        <w:pict>
          <v:rect style="width:0;height:1.5pt" o:hralign="center" o:hrstd="t" o:hr="t"/>
        </w:pict>
      </w:r>
    </w:p>
    <w:bookmarkEnd w:id="13"/>
    <w:bookmarkStart w:id="14" w:name="Xb2c37c0b72440c5e0d1355cc70cb9e5cfb4967a"/>
    <w:p>
      <w:pPr>
        <w:pStyle w:val="Heading2"/>
      </w:pPr>
      <w:r>
        <w:t xml:space="preserve">S6. AI-parameterization cross-reference (short pointer for companion papers)</w:t>
      </w:r>
    </w:p>
    <w:p>
      <w:pPr>
        <w:pStyle w:val="FirstParagraph"/>
      </w:pPr>
      <w:r>
        <w:t xml:space="preserve">Each companion paper carries</w:t>
      </w:r>
      <w:r>
        <w:t xml:space="preserve"> </w:t>
      </w:r>
      <w:r>
        <w:rPr>
          <w:b/>
          <w:bCs/>
        </w:rPr>
        <w:t xml:space="preserve">one short paragraph</w:t>
      </w:r>
      <w:r>
        <w:t xml:space="preserve"> </w:t>
      </w:r>
      <w:r>
        <w:t xml:space="preserve">pointing to the dedicated</w:t>
      </w:r>
      <w:r>
        <w:t xml:space="preserve"> </w:t>
      </w:r>
      <w:r>
        <w:t xml:space="preserve">AI-parameterization paper, plus its own lever rows (the targets its models drive).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restate the full method. Seed text:</w:t>
      </w:r>
    </w:p>
    <w:p>
      <w:pPr>
        <w:pStyle w:val="BlockText"/>
      </w:pPr>
      <w:r>
        <w:t xml:space="preserve">Patient-specific parameter values in EXPLAIN are not tuned by hand but are set by an</w:t>
      </w:r>
      <w:r>
        <w:t xml:space="preserve"> </w:t>
      </w:r>
      <w:r>
        <w:t xml:space="preserve">AI-assisted, closed-loop calibration pipeline described in [companion paper / Section]: a</w:t>
      </w:r>
      <w:r>
        <w:t xml:space="preserve"> </w:t>
      </w:r>
      <w:r>
        <w:t xml:space="preserve">large language model interprets the available clinical targets and emits a validated</w:t>
      </w:r>
      <w:r>
        <w:t xml:space="preserve"> </w:t>
      </w:r>
      <w:r>
        <w:t xml:space="preserve">specification, and a deterministic calibrator drives one physiologically interpretable</w:t>
      </w:r>
      <w:r>
        <w:t xml:space="preserve"> </w:t>
      </w:r>
      <w:r>
        <w:t xml:space="preserve">lever per target to within a clinician-meaningful tolerance. For the models of this paper</w:t>
      </w:r>
      <w:r>
        <w:t xml:space="preserve"> </w:t>
      </w:r>
      <w:r>
        <w:t xml:space="preserve">the relevant levers are [list], which set [targets] (see Table X of the cardiovascular</w:t>
      </w:r>
      <w:r>
        <w:t xml:space="preserve"> </w:t>
      </w:r>
      <w:r>
        <w:t xml:space="preserve">paper for the full lever set).</w:t>
      </w:r>
    </w:p>
    <w:p>
      <w:pPr>
        <w:pStyle w:val="FirstParagraph"/>
      </w:pPr>
      <w:r>
        <w:t xml:space="preserve">Respiratory / acid–base levers to list where relevant (from</w:t>
      </w:r>
      <w:r>
        <w:t xml:space="preserve"> </w:t>
      </w:r>
      <w:r>
        <w:rPr>
          <w:rStyle w:val="VerbatimChar"/>
        </w:rPr>
        <w:t xml:space="preserve">explain/helpers/Calibrator.js</w:t>
      </w:r>
      <w:r>
        <w:t xml:space="preserve">):</w:t>
      </w:r>
      <w:r>
        <w:t xml:space="preserve"> </w:t>
      </w:r>
      <w:r>
        <w:t xml:space="preserve">alveolar O₂ diffusion</w:t>
      </w:r>
      <w:r>
        <w:t xml:space="preserve"> </w:t>
      </w:r>
      <w:r>
        <w:rPr>
          <w:rStyle w:val="VerbatimChar"/>
        </w:rPr>
        <w:t xml:space="preserve">dif_o2</w:t>
      </w:r>
      <w:r>
        <w:t xml:space="preserve"> </w:t>
      </w:r>
      <w:r>
        <w:t xml:space="preserve">→ PO₂ / SpO₂ (+); central ventilatory drive</w:t>
      </w:r>
      <w:r>
        <w:t xml:space="preserve"> </w:t>
      </w:r>
      <w:r>
        <w:rPr>
          <w:rStyle w:val="VerbatimChar"/>
        </w:rPr>
        <w:t xml:space="preserve">minute_volume_ref</w:t>
      </w:r>
      <w:r>
        <w:t xml:space="preserve"> </w:t>
      </w:r>
      <w:r>
        <w:t xml:space="preserve">→ PCO₂ (−); Stewart unmeasured anions</w:t>
      </w:r>
      <w:r>
        <w:t xml:space="preserve"> </w:t>
      </w:r>
      <w:r>
        <w:rPr>
          <w:rStyle w:val="VerbatimChar"/>
        </w:rPr>
        <w:t xml:space="preserve">uma</w:t>
      </w:r>
      <w:r>
        <w:t xml:space="preserve"> </w:t>
      </w:r>
      <w:r>
        <w:t xml:space="preserve">→ base excess / pH (−).</w:t>
      </w:r>
    </w:p>
    <w:p>
      <w:r>
        <w:pict>
          <v:rect style="width:0;height:1.5pt" o:hralign="center" o:hrstd="t" o:hr="t"/>
        </w:pict>
      </w:r>
    </w:p>
    <w:bookmarkEnd w:id="14"/>
    <w:bookmarkStart w:id="15" w:name="X7af9b53a304177f00ab222f7076c43d0b71e98d"/>
    <w:p>
      <w:pPr>
        <w:pStyle w:val="Heading2"/>
      </w:pPr>
      <w:r>
        <w:t xml:space="preserve">S7. Reproducibility / verification convention (all papers)</w:t>
      </w:r>
    </w:p>
    <w:p>
      <w:pPr>
        <w:pStyle w:val="FirstParagraph"/>
      </w:pPr>
      <w:r>
        <w:t xml:space="preserve">Every quantitative claim in Results is reproduced from the engine, not asserted: the headless</w:t>
      </w:r>
      <w:r>
        <w:t xml:space="preserve"> </w:t>
      </w:r>
      <w:r>
        <w:t xml:space="preserve">harness (</w:t>
      </w:r>
      <w:r>
        <w:rPr>
          <w:rStyle w:val="VerbatimChar"/>
        </w:rPr>
        <w:t xml:space="preserve">scripts/_harness.mjs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scripts/headless.mjs</w:t>
      </w:r>
      <w:r>
        <w:t xml:space="preserve">) loads a scenario and advances it;</w:t>
      </w:r>
      <w:r>
        <w:t xml:space="preserve"> </w:t>
      </w:r>
      <w:r>
        <w:rPr>
          <w:rStyle w:val="VerbatimChar"/>
        </w:rPr>
        <w:t xml:space="preserve">scripts/probe_*.mjs</w:t>
      </w:r>
      <w:r>
        <w:t xml:space="preserve"> </w:t>
      </w:r>
      <w:r>
        <w:t xml:space="preserve">scripts drive a specific intervention and print the measured response.</w:t>
      </w:r>
      <w:r>
        <w:t xml:space="preserve"> </w:t>
      </w:r>
      <w:r>
        <w:t xml:space="preserve">Each figure/number cites the script that produced it. Equations in the Methods are transcribed</w:t>
      </w:r>
      <w:r>
        <w:t xml:space="preserve"> </w:t>
      </w:r>
      <w:r>
        <w:t xml:space="preserve">from and checked against the named source file before being stated.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