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87448f77cb982dab7fd4cf3c8f2bb0e046eaf26"/>
    <w:p>
      <w:pPr>
        <w:pStyle w:val="Heading1"/>
      </w:pPr>
      <w:r>
        <w:t xml:space="preserve">New figure — AI-assisted parameterization closed loop</w:t>
      </w:r>
    </w:p>
    <w:p>
      <w:pPr>
        <w:pStyle w:val="FirstParagraph"/>
      </w:pPr>
      <w:r>
        <w:rPr>
          <w:b/>
          <w:bCs/>
        </w:rPr>
        <w:t xml:space="preserve">Rendered.</w:t>
      </w:r>
      <w:r>
        <w:t xml:space="preserve"> </w:t>
      </w:r>
      <w:r>
        <w:t xml:space="preserve">The figure has been produced and is embedded as</w:t>
      </w:r>
      <w:r>
        <w:t xml:space="preserve"> </w:t>
      </w:r>
      <w:r>
        <w:rPr>
          <w:b/>
          <w:bCs/>
        </w:rPr>
        <w:t xml:space="preserve">Fig. 6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ExplainCircPaper_WORKING_with_AIparam.docx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articles/Fig6_AI_parameterization.png</w:t>
      </w:r>
      <w:r>
        <w:t xml:space="preserve"> </w:t>
      </w:r>
      <w:r>
        <w:t xml:space="preserve">— 300 dpi raster (embedded in the working docx).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articles/Fig6_AI_parameterization.svg</w:t>
      </w:r>
      <w:r>
        <w:t xml:space="preserve"> </w:t>
      </w:r>
      <w:r>
        <w:t xml:space="preserve">— editable vector.</w:t>
      </w:r>
    </w:p>
    <w:p>
      <w:pPr>
        <w:pStyle w:val="BodyText"/>
      </w:pPr>
      <w:r>
        <w:t xml:space="preserve">The SVG can be opened/tweaked in any vector editor; if you prefer to keep all figures in</w:t>
      </w:r>
      <w:r>
        <w:t xml:space="preserve"> </w:t>
      </w:r>
      <w:r>
        <w:t xml:space="preserve">the OmniGraffle set, redraw it as</w:t>
      </w:r>
      <w:r>
        <w:t xml:space="preserve"> </w:t>
      </w:r>
      <w:r>
        <w:rPr>
          <w:rStyle w:val="VerbatimChar"/>
        </w:rPr>
        <w:t xml:space="preserve">AIParameterization.umdx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../explain-papers/Graphs/</w:t>
      </w:r>
      <w:r>
        <w:t xml:space="preserve"> </w:t>
      </w:r>
      <w:r>
        <w:t xml:space="preserve">and export to</w:t>
      </w:r>
      <w:r>
        <w:t xml:space="preserve"> </w:t>
      </w:r>
      <w:r>
        <w:rPr>
          <w:rStyle w:val="VerbatimChar"/>
        </w:rPr>
        <w:t xml:space="preserve">Graphs/SVG/</w:t>
      </w:r>
      <w:r>
        <w:t xml:space="preserve"> </w:t>
      </w:r>
      <w:r>
        <w:t xml:space="preserve">like the others. The ASCII mockup and caption below document</w:t>
      </w:r>
      <w:r>
        <w:t xml:space="preserve"> </w:t>
      </w:r>
      <w:r>
        <w:t xml:space="preserve">the intended content.</w:t>
      </w:r>
    </w:p>
    <w:p>
      <w:pPr>
        <w:pStyle w:val="BodyText"/>
      </w:pPr>
      <w:r>
        <w:rPr>
          <w:b/>
          <w:bCs/>
        </w:rPr>
        <w:t xml:space="preserve">Where it goes.</w:t>
      </w:r>
      <w:r>
        <w:t xml:space="preserve"> </w:t>
      </w:r>
      <w:r>
        <w:t xml:space="preserve">With §2.4 (Block A of</w:t>
      </w:r>
      <w:r>
        <w:t xml:space="preserve"> </w:t>
      </w:r>
      <w:r>
        <w:rPr>
          <w:rStyle w:val="VerbatimChar"/>
        </w:rPr>
        <w:t xml:space="preserve">circ-paper-additions.md</w:t>
      </w:r>
      <w:r>
        <w:t xml:space="preserve">), after the existing</w:t>
      </w:r>
      <w:r>
        <w:t xml:space="preserve"> </w:t>
      </w:r>
      <w:r>
        <w:t xml:space="preserve">Fig. 5 (PDA Doppler).</w:t>
      </w:r>
    </w:p>
    <w:p>
      <w:pPr>
        <w:pStyle w:val="BodyText"/>
      </w:pPr>
      <w:r>
        <w:rPr>
          <w:b/>
          <w:bCs/>
        </w:rPr>
        <w:t xml:space="preserve">What it shows.</w:t>
      </w:r>
      <w:r>
        <w:t xml:space="preserve"> </w:t>
      </w:r>
      <w:r>
        <w:t xml:space="preserve">A single closed loop with the interpretation layer feeding the</w:t>
      </w:r>
      <w:r>
        <w:t xml:space="preserve"> </w:t>
      </w:r>
      <w:r>
        <w:t xml:space="preserve">calibration layer, and the two exit paths. Two-tone styling consistent with Fig. 1/2</w:t>
      </w:r>
      <w:r>
        <w:t xml:space="preserve"> </w:t>
      </w:r>
      <w:r>
        <w:t xml:space="preserve">(e.g. the LLM/interpretation block in one colour, the deterministic engine/calibrator</w:t>
      </w:r>
      <w:r>
        <w:t xml:space="preserve"> </w:t>
      </w:r>
      <w:r>
        <w:t xml:space="preserve">blocks in another).</w:t>
      </w:r>
    </w:p>
    <w:p>
      <w:pPr>
        <w:pStyle w:val="SourceCode"/>
      </w:pP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 Clinical inputs                                                  │</w:t>
      </w:r>
      <w:r>
        <w:br/>
      </w:r>
      <w:r>
        <w:rPr>
          <w:rStyle w:val="VerbatimChar"/>
        </w:rPr>
        <w:t xml:space="preserve">   │  free text · monitor values · report (PDF/CSV)                    │</w:t>
      </w:r>
      <w:r>
        <w:br/>
      </w:r>
      <w:r>
        <w:rPr>
          <w:rStyle w:val="VerbatimChar"/>
        </w:rPr>
        <w:t xml:space="preserve">   └───────────────┬───────────────────────────────────────────────── 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┌───────────────────────────────┐      INTERPRETATION LAYER (LLM)</w:t>
      </w:r>
      <w:r>
        <w:br/>
      </w:r>
      <w:r>
        <w:rPr>
          <w:rStyle w:val="VerbatimChar"/>
        </w:rPr>
        <w:t xml:space="preserve">   │  LLM agent (Claude)            │      interprets targets;</w:t>
      </w:r>
      <w:r>
        <w:br/>
      </w:r>
      <w:r>
        <w:rPr>
          <w:rStyle w:val="VerbatimChar"/>
        </w:rPr>
        <w:t xml:space="preserve">   │  → validated build SPEC /      │      emits allowlisted, unit-</w:t>
      </w:r>
      <w:r>
        <w:br/>
      </w:r>
      <w:r>
        <w:rPr>
          <w:rStyle w:val="VerbatimChar"/>
        </w:rPr>
        <w:t xml:space="preserve">   │    allowlisted commands        │      checked commands only</w:t>
      </w:r>
      <w:r>
        <w:br/>
      </w:r>
      <w:r>
        <w:rPr>
          <w:rStyle w:val="VerbatimChar"/>
        </w:rPr>
        <w:t xml:space="preserve">   └───────────────┬───────────────┘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│  targets  x*  +  baseline + pathophysiology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 DETERMINISTIC CALIBRATOR (secant closed loop)                  │</w:t>
      </w:r>
      <w:r>
        <w:br/>
      </w:r>
      <w:r>
        <w:rPr>
          <w:rStyle w:val="VerbatimChar"/>
        </w:rPr>
        <w:t xml:space="preserve">   │                                                                 │</w:t>
      </w:r>
      <w:r>
        <w:br/>
      </w:r>
      <w:r>
        <w:rPr>
          <w:rStyle w:val="VerbatimChar"/>
        </w:rPr>
        <w:t xml:space="preserve">   │   structural pass (once): allometric weight scaling,            │</w:t>
      </w:r>
      <w:r>
        <w:br/>
      </w:r>
      <w:r>
        <w:rPr>
          <w:rStyle w:val="VerbatimChar"/>
        </w:rPr>
        <w:t xml:space="preserve">   │   GA/RDS seeds, baroreflex set-point ← MAP*                     │</w:t>
      </w:r>
      <w:r>
        <w:br/>
      </w:r>
      <w:r>
        <w:rPr>
          <w:rStyle w:val="VerbatimChar"/>
        </w:rPr>
        <w:t xml:space="preserve">   │                        │                                        │</w:t>
      </w:r>
      <w:r>
        <w:br/>
      </w:r>
      <w:r>
        <w:rPr>
          <w:rStyle w:val="VerbatimChar"/>
        </w:rPr>
        <w:t xml:space="preserve">   │                        ▼                                        │</w:t>
      </w:r>
      <w:r>
        <w:br/>
      </w:r>
      <w:r>
        <w:rPr>
          <w:rStyle w:val="VerbatimChar"/>
        </w:rPr>
        <w:t xml:space="preserve">   │        ┌────────► advance model (settle / warm) ──────┐         │</w:t>
      </w:r>
      <w:r>
        <w:br/>
      </w:r>
      <w:r>
        <w:rPr>
          <w:rStyle w:val="VerbatimChar"/>
        </w:rPr>
        <w:t xml:space="preserve">   │        │                                              ▼         │</w:t>
      </w:r>
      <w:r>
        <w:br/>
      </w:r>
      <w:r>
        <w:rPr>
          <w:rStyle w:val="VerbatimChar"/>
        </w:rPr>
        <w:t xml:space="preserve">   │   nudge levers                              beat-averaged       │</w:t>
      </w:r>
      <w:r>
        <w:br/>
      </w:r>
      <w:r>
        <w:rPr>
          <w:rStyle w:val="VerbatimChar"/>
        </w:rPr>
        <w:t xml:space="preserve">   │   (Eq. 13 seed →                            measurement  x      │</w:t>
      </w:r>
      <w:r>
        <w:br/>
      </w:r>
      <w:r>
        <w:rPr>
          <w:rStyle w:val="VerbatimChar"/>
        </w:rPr>
        <w:t xml:space="preserve">   │    Eq. 14 secant)                                    │          │</w:t>
      </w:r>
      <w:r>
        <w:br/>
      </w:r>
      <w:r>
        <w:rPr>
          <w:rStyle w:val="VerbatimChar"/>
        </w:rPr>
        <w:t xml:space="preserve">   │        ▲                                             ▼          │</w:t>
      </w:r>
      <w:r>
        <w:br/>
      </w:r>
      <w:r>
        <w:rPr>
          <w:rStyle w:val="VerbatimChar"/>
        </w:rPr>
        <w:t xml:space="preserve">   │        │                 residual  |x* − x|  vs  τ  (Eq. 15)    │</w:t>
      </w:r>
      <w:r>
        <w:br/>
      </w:r>
      <w:r>
        <w:rPr>
          <w:rStyle w:val="VerbatimChar"/>
        </w:rPr>
        <w:t xml:space="preserve">   │        └───────────── no ◄──── within tolerance? ────► yes ─┐   │</w:t>
      </w:r>
      <w:r>
        <w:br/>
      </w:r>
      <w:r>
        <w:rPr>
          <w:rStyle w:val="VerbatimChar"/>
        </w:rPr>
        <w:t xml:space="preserve">   │                                                            │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└────────────────────────────────────────────────────────── │ ──┘</w:t>
      </w:r>
      <w:r>
        <w:br/>
      </w:r>
      <w:r>
        <w:rPr>
          <w:rStyle w:val="VerbatimChar"/>
        </w:rPr>
        <w:t xml:space="preserve">                                                                │</w:t>
      </w:r>
      <w:r>
        <w:br/>
      </w:r>
      <w:r>
        <w:rPr>
          <w:rStyle w:val="VerbatimChar"/>
        </w:rPr>
        <w:t xml:space="preserve">                        ┌───────────────────────────────────────┘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┌───────────────────────────┐     ┌───────────────────────────┐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(i) patient construction  │     │  (ii) live in-place tuning │</w:t>
      </w:r>
      <w:r>
        <w:br/>
      </w:r>
      <w:r>
        <w:rPr>
          <w:rStyle w:val="VerbatimChar"/>
        </w:rPr>
        <w:t xml:space="preserve">        │  bake equilibrium state →  │     │  resume real-time sim from │</w:t>
      </w:r>
      <w:r>
        <w:br/>
      </w:r>
      <w:r>
        <w:rPr>
          <w:rStyle w:val="VerbatimChar"/>
        </w:rPr>
        <w:t xml:space="preserve">        │  runnable scenario JSON    │     │  the new operating point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└───────────────────────────┘     └───────────────────────────┘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Draft caption.</w:t>
      </w:r>
    </w:p>
    <w:p>
      <w:pPr>
        <w:pStyle w:val="BlockText"/>
      </w:pPr>
      <w:r>
        <w:rPr>
          <w:b/>
          <w:bCs/>
        </w:rPr>
        <w:t xml:space="preserve">Fig. 6. AI-assisted patient-specific parameterization.</w:t>
      </w:r>
      <w:r>
        <w:t xml:space="preserve"> </w:t>
      </w:r>
      <w:r>
        <w:t xml:space="preserve">An LLM agent interprets the</w:t>
      </w:r>
      <w:r>
        <w:t xml:space="preserve"> </w:t>
      </w:r>
      <w:r>
        <w:t xml:space="preserve">available clinical targets (x*) and emits a validated specification and allowlisted</w:t>
      </w:r>
      <w:r>
        <w:t xml:space="preserve"> </w:t>
      </w:r>
      <w:r>
        <w:t xml:space="preserve">commands; it does not modify equations or state directly. A deterministic calibrator</w:t>
      </w:r>
      <w:r>
        <w:t xml:space="preserve"> </w:t>
      </w:r>
      <w:r>
        <w:t xml:space="preserve">then fits the mechanistic model: a single structural pass scales the model to body</w:t>
      </w:r>
      <w:r>
        <w:t xml:space="preserve"> </w:t>
      </w:r>
      <w:r>
        <w:t xml:space="preserve">size and aligns the baroreflex set-point to the target mean arterial pressure, after</w:t>
      </w:r>
      <w:r>
        <w:t xml:space="preserve"> </w:t>
      </w:r>
      <w:r>
        <w:t xml:space="preserve">which one lever per target (Table X) is nudged — a proportional seed (Eq. 13) then the</w:t>
      </w:r>
      <w:r>
        <w:t xml:space="preserve"> </w:t>
      </w:r>
      <w:r>
        <w:t xml:space="preserve">secant method (Eq. 14) — as the model is advanced and each quantity is re-measured as a</w:t>
      </w:r>
      <w:r>
        <w:t xml:space="preserve"> </w:t>
      </w:r>
      <w:r>
        <w:t xml:space="preserve">beat-averaged mean, until every residual falls within its clinician-meaningful</w:t>
      </w:r>
      <w:r>
        <w:t xml:space="preserve"> </w:t>
      </w:r>
      <w:r>
        <w:t xml:space="preserve">tolerance (Eq. 15). The same loop supports offline construction of a new calibrated</w:t>
      </w:r>
      <w:r>
        <w:t xml:space="preserve"> </w:t>
      </w:r>
      <w:r>
        <w:t xml:space="preserve">patient and live retuning of a running simulation.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2026-07-10T07:58:26Z</dcterms:created>
  <dcterms:modified xsi:type="dcterms:W3CDTF">2026-07-10T07:58:26Z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