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e9f2d3470ed1ce79a251ef089e8946d52f5b8c"/>
    <w:p>
      <w:pPr>
        <w:pStyle w:val="Heading1"/>
      </w:pPr>
      <w:r>
        <w:t xml:space="preserve">EXPLAIN paper series — running bibliography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single working reference pool for the series. Each paper renumbers its own</w:t>
      </w:r>
      <w:r>
        <w:t xml:space="preserve"> </w:t>
      </w:r>
      <w:r>
        <w:t xml:space="preserve">subset in citation order (Vancouver, matching the cardiovascular paper). Entries marked</w:t>
      </w:r>
      <w:r>
        <w:t xml:space="preserve"> </w:t>
      </w:r>
      <w:r>
        <w:rPr>
          <w:b/>
          <w:bCs/>
        </w:rPr>
        <w:t xml:space="preserve">[VERIFY]</w:t>
      </w:r>
      <w:r>
        <w:t xml:space="preserve"> </w:t>
      </w:r>
      <w:r>
        <w:t xml:space="preserve">are candidate sources identified from the model mathematics but</w:t>
      </w:r>
      <w:r>
        <w:t xml:space="preserve"> </w:t>
      </w:r>
      <w:r>
        <w:rPr>
          <w:b/>
          <w:bCs/>
        </w:rPr>
        <w:t xml:space="preserve">not yet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against PubMed</w:t>
      </w:r>
      <w:r>
        <w:t xml:space="preserve"> </w:t>
      </w:r>
      <w:r>
        <w:t xml:space="preserve">— confirm author/year/journal/DOI/PMID before they enter a</w:t>
      </w:r>
      <w:r>
        <w:t xml:space="preserve"> </w:t>
      </w:r>
      <w:r>
        <w:t xml:space="preserve">manuscript. Do not cite a [VERIFY] entry in submission text until checked.</w:t>
      </w:r>
    </w:p>
    <w:p>
      <w:pPr>
        <w:pStyle w:val="BodyText"/>
      </w:pPr>
      <w:r>
        <w:t xml:space="preserve">Anchors already used and formatted in the cardiovascular paper (reuse verbatim there):</w:t>
      </w:r>
      <w:r>
        <w:t xml:space="preserve"> </w:t>
      </w:r>
      <w:r>
        <w:t xml:space="preserve">Beneken &amp; DeWit (circuit elements), Suga (time-varying elastance), Burkhoff &amp; Tyberg,</w:t>
      </w:r>
      <w:r>
        <w:t xml:space="preserve"> </w:t>
      </w:r>
      <w:r>
        <w:t xml:space="preserve">van Meurs (integrated model / numerical methods), Bischoff et al. (preterm PDA cohort),</w:t>
      </w:r>
      <w:r>
        <w:t xml:space="preserve"> </w:t>
      </w:r>
      <w:r>
        <w:t xml:space="preserve">Jones (pulmonary hypertension), van Laere (PDA Doppler); Anthropic Claude / Claude Agent SDK;</w:t>
      </w:r>
      <w:r>
        <w:t xml:space="preserve"> </w:t>
      </w:r>
      <w:r>
        <w:t xml:space="preserve">Burden &amp; Faires (secant method). See</w:t>
      </w:r>
      <w:r>
        <w:t xml:space="preserve"> </w:t>
      </w:r>
      <w:r>
        <w:rPr>
          <w:rStyle w:val="VerbatimChar"/>
        </w:rPr>
        <w:t xml:space="preserve">articles/circ-paper-additions.md</w:t>
      </w:r>
      <w:r>
        <w:t xml:space="preserve"> </w:t>
      </w:r>
      <w:r>
        <w:t xml:space="preserve">Block G for the</w:t>
      </w:r>
      <w:r>
        <w:t xml:space="preserve"> </w:t>
      </w:r>
      <w:r>
        <w:t xml:space="preserve">already-drafted software/AI citations.</w:t>
      </w:r>
    </w:p>
    <w:p>
      <w:r>
        <w:pict>
          <v:rect style="width:0;height:1.5pt" o:hralign="center" o:hrstd="t" o:hr="t"/>
        </w:pict>
      </w:r>
    </w:p>
    <w:bookmarkStart w:id="9" w:name="X648d204c14b365329dbe897e993fd5637df8569"/>
    <w:p>
      <w:pPr>
        <w:pStyle w:val="Heading2"/>
      </w:pPr>
      <w:r>
        <w:t xml:space="preserve">Acid–base and blood-gas transport (Paper 2 keystone —</w:t>
      </w:r>
      <w:r>
        <w:t xml:space="preserve"> </w:t>
      </w:r>
      <w:r>
        <w:rPr>
          <w:rStyle w:val="VerbatimChar"/>
        </w:rPr>
        <w:t xml:space="preserve">BloodComposition.js</w:t>
      </w:r>
      <w:r>
        <w:t xml:space="preserve">)</w:t>
      </w:r>
    </w:p>
    <w:p>
      <w:pPr>
        <w:pStyle w:val="FirstParagraph"/>
      </w:pPr>
      <w:r>
        <w:t xml:space="preserve">The solver is a Stewart physicochemical (strong-ion) model closed by electroneutrality,</w:t>
      </w:r>
      <w:r>
        <w:t xml:space="preserve"> </w:t>
      </w:r>
      <w:r>
        <w:t xml:space="preserve">with CO₂ speciation, non-bicarbonate buffering by albumin/phosphate, a Van Slyke base-excess</w:t>
      </w:r>
      <w:r>
        <w:t xml:space="preserve"> </w:t>
      </w:r>
      <w:r>
        <w:t xml:space="preserve">expression, and a Hill O₂–haemoglobin dissociation curve whose P50 shifts with pH, PCO₂,</w:t>
      </w:r>
      <w:r>
        <w:t xml:space="preserve"> </w:t>
      </w:r>
      <w:r>
        <w:t xml:space="preserve">temperature and 2,3-DPG. Candidate provenance: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Stewart PA. Modern quantitative acid–base chemistry.</w:t>
      </w:r>
      <w:r>
        <w:t xml:space="preserve"> </w:t>
      </w:r>
      <w:r>
        <w:rPr>
          <w:i/>
          <w:iCs/>
        </w:rPr>
        <w:t xml:space="preserve">Can J Physiol</w:t>
      </w:r>
      <w:r>
        <w:rPr>
          <w:i/>
          <w:iCs/>
        </w:rPr>
        <w:t xml:space="preserve"> </w:t>
      </w:r>
      <w:r>
        <w:rPr>
          <w:i/>
          <w:iCs/>
        </w:rPr>
        <w:t xml:space="preserve">Pharmacol.</w:t>
      </w:r>
      <w:r>
        <w:t xml:space="preserve"> </w:t>
      </w:r>
      <w:r>
        <w:t xml:space="preserve">1983;61(12):1444–61. — the strong-ion difference (SID) framework; Eq. for</w:t>
      </w:r>
      <w:r>
        <w:t xml:space="preserve"> </w:t>
      </w:r>
      <w:r>
        <w:t xml:space="preserve">net plasma charge / electroneutrality.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Stewart PA. Independent and dependent variables of acid–base control.</w:t>
      </w:r>
      <w:r>
        <w:t xml:space="preserve"> </w:t>
      </w:r>
      <w:r>
        <w:rPr>
          <w:i/>
          <w:iCs/>
        </w:rPr>
        <w:t xml:space="preserve">Respir Physiol.</w:t>
      </w:r>
      <w:r>
        <w:t xml:space="preserve"> </w:t>
      </w:r>
      <w:r>
        <w:t xml:space="preserve">1978;33(1):9–26.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Figge J, Rossing TH, Fencl V. The role of serum proteins in acid–base</w:t>
      </w:r>
      <w:r>
        <w:t xml:space="preserve"> </w:t>
      </w:r>
      <w:r>
        <w:t xml:space="preserve">equilibria.</w:t>
      </w:r>
      <w:r>
        <w:t xml:space="preserve"> </w:t>
      </w:r>
      <w:r>
        <w:rPr>
          <w:i/>
          <w:iCs/>
        </w:rPr>
        <w:t xml:space="preserve">J Lab Clin Med.</w:t>
      </w:r>
      <w:r>
        <w:t xml:space="preserve"> </w:t>
      </w:r>
      <w:r>
        <w:t xml:space="preserve">1991;117(6):453–67. — albumin/phosphate charge terms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0.123·pH − 0.631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0.309·pH − 0.469</w:t>
      </w:r>
      <w:r>
        <w:t xml:space="preserve"> </w:t>
      </w:r>
      <w:r>
        <w:t xml:space="preserve">buffer expressions).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Siggaard-Andersen O. The Van Slyke equation.</w:t>
      </w:r>
      <w:r>
        <w:t xml:space="preserve"> </w:t>
      </w:r>
      <w:r>
        <w:rPr>
          <w:i/>
          <w:iCs/>
        </w:rPr>
        <w:t xml:space="preserve">Scand J Clin Lab Invest</w:t>
      </w:r>
      <w:r>
        <w:rPr>
          <w:i/>
          <w:iCs/>
        </w:rPr>
        <w:t xml:space="preserve"> </w:t>
      </w:r>
      <w:r>
        <w:rPr>
          <w:i/>
          <w:iCs/>
        </w:rPr>
        <w:t xml:space="preserve">Suppl.</w:t>
      </w:r>
      <w:r>
        <w:t xml:space="preserve"> </w:t>
      </w:r>
      <w:r>
        <w:t xml:space="preserve">1977;146:15–20. — base excess = (HCO₃ − 24.4 + (2.3·Hb + 7.7)(pH − 7.4))·</w:t>
      </w:r>
      <w:r>
        <w:t xml:space="preserve"> </w:t>
      </w:r>
      <w:r>
        <w:t xml:space="preserve">(1 − 0.023·Hb); match constants (engine uses 25.1).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Kelman GR. Digital computer subroutine for the conversion of oxygen tension</w:t>
      </w:r>
      <w:r>
        <w:t xml:space="preserve"> </w:t>
      </w:r>
      <w:r>
        <w:t xml:space="preserve">into saturation.</w:t>
      </w:r>
      <w:r>
        <w:t xml:space="preserve"> </w:t>
      </w:r>
      <w:r>
        <w:rPr>
          <w:i/>
          <w:iCs/>
        </w:rPr>
        <w:t xml:space="preserve">J Appl Physiol.</w:t>
      </w:r>
      <w:r>
        <w:t xml:space="preserve"> </w:t>
      </w:r>
      <w:r>
        <w:t xml:space="preserve">1966;21(4):1375–6. — O₂–Hb dissociation subroutine.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Severinghaus JW. Simple, accurate equations for human blood O₂ dissociation</w:t>
      </w:r>
      <w:r>
        <w:t xml:space="preserve"> </w:t>
      </w:r>
      <w:r>
        <w:t xml:space="preserve">computations.</w:t>
      </w:r>
      <w:r>
        <w:t xml:space="preserve"> </w:t>
      </w:r>
      <w:r>
        <w:rPr>
          <w:i/>
          <w:iCs/>
        </w:rPr>
        <w:t xml:space="preserve">J Appl Physiol.</w:t>
      </w:r>
      <w:r>
        <w:t xml:space="preserve"> </w:t>
      </w:r>
      <w:r>
        <w:t xml:space="preserve">1979;46(3):599–602.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Dash RK, Bassingthwaighte JB. Blood HbO₂ and HbCO₂ dissociation curves at</w:t>
      </w:r>
      <w:r>
        <w:t xml:space="preserve"> </w:t>
      </w:r>
      <w:r>
        <w:t xml:space="preserve">varied O₂, CO₂, pH, 2,3-DPG and temperature levels.</w:t>
      </w:r>
      <w:r>
        <w:t xml:space="preserve"> </w:t>
      </w:r>
      <w:r>
        <w:rPr>
          <w:i/>
          <w:iCs/>
        </w:rPr>
        <w:t xml:space="preserve">Ann Biomed Eng.</w:t>
      </w:r>
      <w:r>
        <w:t xml:space="preserve"> </w:t>
      </w:r>
      <w:r>
        <w:t xml:space="preserve">2004;32(12):1676–93.</w:t>
      </w:r>
      <w:r>
        <w:t xml:space="preserve"> </w:t>
      </w:r>
      <w:r>
        <w:t xml:space="preserve">— P50 shift coefficients for pH (Bohr), PCO₂, temperature, DPG; Haldane coupling.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Thomas LJ Jr. Algorithms for selected blood acid–base and blood gas</w:t>
      </w:r>
      <w:r>
        <w:t xml:space="preserve"> </w:t>
      </w:r>
      <w:r>
        <w:t xml:space="preserve">calculations.</w:t>
      </w:r>
      <w:r>
        <w:t xml:space="preserve"> </w:t>
      </w:r>
      <w:r>
        <w:rPr>
          <w:i/>
          <w:iCs/>
        </w:rPr>
        <w:t xml:space="preserve">J Appl Physiol.</w:t>
      </w:r>
      <w:r>
        <w:t xml:space="preserve"> </w:t>
      </w:r>
      <w:r>
        <w:t xml:space="preserve">1972;33(1):154–8.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Hill AV. The possible effects of the aggregation of the molecules of</w:t>
      </w:r>
      <w:r>
        <w:t xml:space="preserve"> </w:t>
      </w:r>
      <w:r>
        <w:t xml:space="preserve">haemoglobin on its dissociation curves.</w:t>
      </w:r>
      <w:r>
        <w:t xml:space="preserve"> </w:t>
      </w:r>
      <w:r>
        <w:rPr>
          <w:i/>
          <w:iCs/>
        </w:rPr>
        <w:t xml:space="preserve">J Physiol.</w:t>
      </w:r>
      <w:r>
        <w:t xml:space="preserve"> </w:t>
      </w:r>
      <w:r>
        <w:t xml:space="preserve">1910;40:iv–vii. — Hill equation</w:t>
      </w:r>
      <w:r>
        <w:t xml:space="preserve"> </w:t>
      </w:r>
      <w:r>
        <w:t xml:space="preserve">(engine coefficient n = 2.7).</w:t>
      </w:r>
    </w:p>
    <w:bookmarkEnd w:id="9"/>
    <w:bookmarkStart w:id="10" w:name="X7299f3207e7c6e1276d26d0ddb5a3f4604b314f"/>
    <w:p>
      <w:pPr>
        <w:pStyle w:val="Heading2"/>
      </w:pPr>
      <w:r>
        <w:t xml:space="preserve">Gas exchange and diffusion (Paper 2 —</w:t>
      </w:r>
      <w:r>
        <w:t xml:space="preserve"> </w:t>
      </w:r>
      <w:r>
        <w:rPr>
          <w:rStyle w:val="VerbatimChar"/>
        </w:rPr>
        <w:t xml:space="preserve">GasExchanger.js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GasDiffusor.js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Fick A. Ueber Diffusion.</w:t>
      </w:r>
      <w:r>
        <w:t xml:space="preserve"> </w:t>
      </w:r>
      <w:r>
        <w:rPr>
          <w:i/>
          <w:iCs/>
        </w:rPr>
        <w:t xml:space="preserve">Ann Phys.</w:t>
      </w:r>
      <w:r>
        <w:t xml:space="preserve"> </w:t>
      </w:r>
      <w:r>
        <w:t xml:space="preserve">1855;170(1):59–86. — partial-pressure-</w:t>
      </w:r>
      <w:r>
        <w:t xml:space="preserve"> </w:t>
      </w:r>
      <w:r>
        <w:t xml:space="preserve">driven flux law underpinning</w:t>
      </w:r>
      <w:r>
        <w:t xml:space="preserve"> </w:t>
      </w:r>
      <w:r>
        <w:rPr>
          <w:rStyle w:val="VerbatimChar"/>
        </w:rPr>
        <w:t xml:space="preserve">flux = (P_blood − P_gas)·D·Δt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Wagner PD. The multiple inert gas elimination technique / diffusion</w:t>
      </w:r>
      <w:r>
        <w:t xml:space="preserve"> </w:t>
      </w:r>
      <w:r>
        <w:t xml:space="preserve">limitation references (choose a standard alveolar–capillary diffusion review).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West JB.</w:t>
      </w:r>
      <w:r>
        <w:t xml:space="preserve"> </w:t>
      </w:r>
      <w:r>
        <w:rPr>
          <w:i/>
          <w:iCs/>
        </w:rPr>
        <w:t xml:space="preserve">Respiratory Physiology: The Essentials.</w:t>
      </w:r>
      <w:r>
        <w:t xml:space="preserve"> </w:t>
      </w:r>
      <w:r>
        <w:t xml:space="preserve">— textbook anchor for</w:t>
      </w:r>
      <w:r>
        <w:t xml:space="preserve"> </w:t>
      </w:r>
      <w:r>
        <w:t xml:space="preserve">alveolar gas equation, dead space, V/Q.</w:t>
      </w:r>
    </w:p>
    <w:bookmarkEnd w:id="10"/>
    <w:bookmarkStart w:id="11" w:name="X804c3af4cfd75d5b70986ae5a74c96596c22a52"/>
    <w:p>
      <w:pPr>
        <w:pStyle w:val="Heading2"/>
      </w:pPr>
      <w:r>
        <w:t xml:space="preserve">Respiratory mechanics, control and surfactant (Paper 2 —</w:t>
      </w:r>
      <w:r>
        <w:t xml:space="preserve"> </w:t>
      </w:r>
      <w:r>
        <w:rPr>
          <w:rStyle w:val="VerbatimChar"/>
        </w:rPr>
        <w:t xml:space="preserve">Breathing.js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Surfactant.js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Rahn/Otis or a standard neonatal respiratory-mechanics reference for the</w:t>
      </w:r>
      <w:r>
        <w:t xml:space="preserve"> </w:t>
      </w:r>
      <w:r>
        <w:t xml:space="preserve">spontaneous-drive → muscle-pressure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Surfactant recruitment/derecruitment hysteresis source (e.g. Bachofen &amp;</w:t>
      </w:r>
      <w:r>
        <w:t xml:space="preserve"> </w:t>
      </w:r>
      <w:r>
        <w:t xml:space="preserve">Schürch surface-tension hysteresis; a recruitment-model reference for the</w:t>
      </w:r>
      <w:r>
        <w:t xml:space="preserve"> </w:t>
      </w:r>
      <w:r>
        <w:rPr>
          <w:rStyle w:val="VerbatimChar"/>
        </w:rPr>
        <w:t xml:space="preserve">open_fraction</w:t>
      </w:r>
      <w:r>
        <w:t xml:space="preserve"> </w:t>
      </w:r>
      <w:r>
        <w:t xml:space="preserve">threshold dynamics). Confirm what the source header comments cite.</w:t>
      </w:r>
    </w:p>
    <w:bookmarkEnd w:id="11"/>
    <w:bookmarkStart w:id="12" w:name="X0bbb5062053b56a6d4406d3ddbfad06b740737e"/>
    <w:p>
      <w:pPr>
        <w:pStyle w:val="Heading2"/>
      </w:pPr>
      <w:r>
        <w:t xml:space="preserve">Metabolism and lactate (Paper 2 —</w:t>
      </w:r>
      <w:r>
        <w:t xml:space="preserve"> </w:t>
      </w:r>
      <w:r>
        <w:rPr>
          <w:rStyle w:val="VerbatimChar"/>
        </w:rPr>
        <w:t xml:space="preserve">Metabolism.js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Lactate.js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Q10 temperature-coefficient reference for metabolic-rate scaling.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A neonatal VO₂/VCO₂ and respiratory-quotient reference.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[VERIFY]</w:t>
      </w:r>
      <w:r>
        <w:t xml:space="preserve"> </w:t>
      </w:r>
      <w:r>
        <w:t xml:space="preserve">Anaerobic lactate production / O₂-debt and Cori-cycle clearance references.</w:t>
      </w:r>
    </w:p>
    <w:p>
      <w:r>
        <w:pict>
          <v:rect style="width:0;height:1.5pt" o:hralign="center" o:hrstd="t" o:hr="t"/>
        </w:pic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Prefer sources the engine source-file header comments already name; the header comments of</w:t>
      </w:r>
      <w:r>
        <w:t xml:space="preserve"> </w:t>
      </w:r>
      <w:r>
        <w:rPr>
          <w:rStyle w:val="VerbatimChar"/>
        </w:rPr>
        <w:t xml:space="preserve">Brain.js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Mob.js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Thermoregulation.js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Surfactant.js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Pda.js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chd_duct_fo_dependent.md</w:t>
      </w:r>
      <w:r>
        <w:t xml:space="preserve"> </w:t>
      </w:r>
      <w:r>
        <w:t xml:space="preserve">are the closest thing to an existing bibliography (the last has</w:t>
      </w:r>
      <w:r>
        <w:t xml:space="preserve"> </w:t>
      </w:r>
      <w:r>
        <w:t xml:space="preserve">~48 references) — mine these first before external search.</w:t>
      </w:r>
    </w:p>
    <w:p>
      <w:pPr>
        <w:pStyle w:val="Compact"/>
        <w:numPr>
          <w:ilvl w:val="0"/>
          <w:numId w:val="1005"/>
        </w:numPr>
      </w:pPr>
      <w:r>
        <w:t xml:space="preserve">When a constant in the code differs from the textbook value (e.g. base-excess offset 25.1</w:t>
      </w:r>
      <w:r>
        <w:t xml:space="preserve"> </w:t>
      </w:r>
      <w:r>
        <w:t xml:space="preserve">vs. 24.4; P50 baselines HbF 18.8 / neonatal 20.0 / adult 26.7), state the engine value and</w:t>
      </w:r>
      <w:r>
        <w:t xml:space="preserve"> </w:t>
      </w:r>
      <w:r>
        <w:t xml:space="preserve">cite the source it was adapted from — do not silently</w:t>
      </w:r>
      <w:r>
        <w:t xml:space="preserve"> </w:t>
      </w:r>
      <w:r>
        <w:t xml:space="preserve">“correct”</w:t>
      </w:r>
      <w:r>
        <w:t xml:space="preserve"> </w:t>
      </w:r>
      <w:r>
        <w:t xml:space="preserve">it.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