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f5e845987b615cf8755e6475ec2d573ec13b52"/>
    <w:p>
      <w:pPr>
        <w:pStyle w:val="Heading1"/>
      </w:pPr>
      <w:r>
        <w:t xml:space="preserve">EXPLAIN cardiovascular paper — insert-ready additions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These are drop-in content blocks for the master manuscript</w:t>
      </w:r>
      <w:r>
        <w:t xml:space="preserve"> </w:t>
      </w:r>
      <w:r>
        <w:rPr>
          <w:rStyle w:val="VerbatimChar"/>
        </w:rPr>
        <w:t xml:space="preserve">articles/ExplainCircPaper(27012026)_WPdB_TA_WvM.docx</w:t>
      </w:r>
      <w:r>
        <w:t xml:space="preserve">. Each block names its exact</w:t>
      </w:r>
      <w:r>
        <w:t xml:space="preserve"> </w:t>
      </w:r>
      <w:r>
        <w:t xml:space="preserve">target location in the paper and whether it is an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replacement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remains the master — paste these into Word and re-key the equations as</w:t>
      </w:r>
      <w:r>
        <w:t xml:space="preserve"> </w:t>
      </w:r>
      <w:r>
        <w:t xml:space="preserve">native (OMML) objects, matching the style of Eqs. 1–12. New references (Block G) are</w:t>
      </w:r>
      <w:r>
        <w:t xml:space="preserve"> </w:t>
      </w:r>
      <w:r>
        <w:t xml:space="preserve">given as EndNote-ready strings; renumber to follow the existing 23.</w:t>
      </w:r>
    </w:p>
    <w:p>
      <w:pPr>
        <w:pStyle w:val="BodyText"/>
      </w:pPr>
      <w:r>
        <w:t xml:space="preserve">Every quantitative claim below (tolerances, lever→target mappings, the seed/secant</w:t>
      </w:r>
      <w:r>
        <w:t xml:space="preserve"> </w:t>
      </w:r>
      <w:r>
        <w:t xml:space="preserve">update rules, the structural-pass steps, the two entry points) is taken directly from</w:t>
      </w:r>
      <w:r>
        <w:t xml:space="preserve"> </w:t>
      </w:r>
      <w:r>
        <w:t xml:space="preserve">the implementation: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explain/helpers/Calibrator.js</w:t>
      </w:r>
      <w:r>
        <w:t xml:space="preserve"> </w:t>
      </w:r>
      <w:r>
        <w:t xml:space="preserve">— the shared closed-loop calibrator (controllers,</w:t>
      </w:r>
      <w:r>
        <w:t xml:space="preserve"> </w:t>
      </w:r>
      <w:r>
        <w:rPr>
          <w:rStyle w:val="VerbatimChar"/>
        </w:rPr>
        <w:t xml:space="preserve">runCalibration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DEFAULT_TOL</w:t>
      </w:r>
      <w:r>
        <w:t xml:space="preserve">, live levers).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scripts/build_patient.mjs</w:t>
      </w:r>
      <w:r>
        <w:t xml:space="preserve"> </w:t>
      </w:r>
      <w:r>
        <w:t xml:space="preserve">— offline patient construction (SPEC schema, structural pass, offline levers,</w:t>
      </w:r>
      <w:r>
        <w:t xml:space="preserve"> </w:t>
      </w:r>
      <w:r>
        <w:rPr>
          <w:rStyle w:val="VerbatimChar"/>
        </w:rPr>
        <w:t xml:space="preserve">BR_MAP.set_value = MAP_target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explain/ModelEngine.js</w:t>
      </w:r>
      <w:r>
        <w:t xml:space="preserve"> </w:t>
      </w:r>
      <w:r>
        <w:t xml:space="preserve">(</w:t>
      </w:r>
      <w:r>
        <w:rPr>
          <w:rStyle w:val="VerbatimChar"/>
        </w:rPr>
        <w:t xml:space="preserve">tune_model</w:t>
      </w:r>
      <w:r>
        <w:t xml:space="preserve">) — live in-place tuning.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src/services/botCommands.ts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src/services/botCommandAllowlist.ts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bot-host/api.py</w:t>
      </w:r>
      <w:r>
        <w:t xml:space="preserve"> </w:t>
      </w:r>
      <w:r>
        <w:t xml:space="preserve">— the LLM command/validation pipeline.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docs/engine/Calibrator.md</w:t>
      </w:r>
      <w:r>
        <w:t xml:space="preserve"> </w:t>
      </w:r>
      <w:r>
        <w:t xml:space="preserve">— authoritative prose reference (incl. caveats).</w:t>
      </w:r>
    </w:p>
    <w:p>
      <w:pPr>
        <w:pStyle w:val="BodyText"/>
      </w:pPr>
      <w:r>
        <w:t xml:space="preserve">A worked convergence example (real output) is included in Block A’s callout and can</w:t>
      </w:r>
      <w:r>
        <w:t xml:space="preserve"> </w:t>
      </w:r>
      <w:r>
        <w:t xml:space="preserve">seed a supplementary table/figure.</w:t>
      </w:r>
    </w:p>
    <w:p>
      <w:r>
        <w:pict>
          <v:rect style="width:0;height:1.5pt" o:hralign="center" o:hrstd="t" o:hr="t"/>
        </w:pict>
      </w:r>
    </w:p>
    <w:bookmarkStart w:id="9" w:name="X46c43f0ed67d8db590325518ec6284bcf53efe0"/>
    <w:p>
      <w:pPr>
        <w:pStyle w:val="Heading2"/>
      </w:pPr>
      <w:r>
        <w:t xml:space="preserve">Block A — NEW Methods subsection §2.4 (insert immediately after §2.3)</w:t>
      </w:r>
    </w:p>
    <w:p>
      <w:pPr>
        <w:pStyle w:val="BlockText"/>
      </w:pPr>
      <w:r>
        <w:rPr>
          <w:b/>
          <w:bCs/>
        </w:rPr>
        <w:t xml:space="preserve">2.4 AI-assisted patient-specific parameterization</w:t>
      </w:r>
    </w:p>
    <w:p>
      <w:pPr>
        <w:pStyle w:val="BlockText"/>
      </w:pPr>
      <w:r>
        <w:t xml:space="preserve">A recurring difficulty with lumped-parameter cardiovascular models is that they</w:t>
      </w:r>
      <w:r>
        <w:t xml:space="preserve"> </w:t>
      </w:r>
      <w:r>
        <w:t xml:space="preserve">expose many free parameters (elastances, resistances, unstressed volumes, shunt</w:t>
      </w:r>
      <w:r>
        <w:t xml:space="preserve"> </w:t>
      </w:r>
      <w:r>
        <w:t xml:space="preserve">geometry) while the clinic provides only a handful of directly measured targets —</w:t>
      </w:r>
      <w:r>
        <w:t xml:space="preserve"> </w:t>
      </w:r>
      <w:r>
        <w:t xml:space="preserve">typically heart rate (HR), mean arterial pressure (MAP), central venous pressure</w:t>
      </w:r>
      <w:r>
        <w:t xml:space="preserve"> </w:t>
      </w:r>
      <w:r>
        <w:t xml:space="preserve">(CVP), mean pulmonary artery pressure (PAP), cardiac output (CO), arterial oxygen</w:t>
      </w:r>
      <w:r>
        <w:t xml:space="preserve"> </w:t>
      </w:r>
      <w:r>
        <w:t xml:space="preserve">saturation (SpO₂) and an arterial blood gas. To instantiate EXPLAIN for an</w:t>
      </w:r>
      <w:r>
        <w:t xml:space="preserve"> </w:t>
      </w:r>
      <w:r>
        <w:t xml:space="preserve">individual patient we therefore combine a large language model (LLM), which</w:t>
      </w:r>
      <w:r>
        <w:t xml:space="preserve"> </w:t>
      </w:r>
      <w:r>
        <w:t xml:space="preserve">interprets the clinical inputs, with a deterministic closed-loop calibrator, which</w:t>
      </w:r>
      <w:r>
        <w:t xml:space="preserve"> </w:t>
      </w:r>
      <w:r>
        <w:t xml:space="preserve">fits the mechanistic model to the resulting targets. The two roles are strictly</w:t>
      </w:r>
      <w:r>
        <w:t xml:space="preserve"> </w:t>
      </w:r>
      <w:r>
        <w:t xml:space="preserve">separated: the LLM never edits equations or state directly, and the calibrator</w:t>
      </w:r>
      <w:r>
        <w:t xml:space="preserve"> </w:t>
      </w:r>
      <w:r>
        <w:t xml:space="preserve">performs no interpretation.</w:t>
      </w:r>
    </w:p>
    <w:p>
      <w:pPr>
        <w:pStyle w:val="BlockText"/>
      </w:pPr>
      <w:r>
        <w:rPr>
          <w:b/>
          <w:bCs/>
        </w:rPr>
        <w:t xml:space="preserve">Interpretation layer.</w:t>
      </w:r>
      <w:r>
        <w:t xml:space="preserve"> </w:t>
      </w:r>
      <w:r>
        <w:t xml:space="preserve">An LLM agent (Claude, Anthropic; driven through the Claude</w:t>
      </w:r>
      <w:r>
        <w:t xml:space="preserve"> </w:t>
      </w:r>
      <w:r>
        <w:t xml:space="preserve">Agent SDK) reads the case description — free text, monitor values, or an attached</w:t>
      </w:r>
      <w:r>
        <w:t xml:space="preserve"> </w:t>
      </w:r>
      <w:r>
        <w:t xml:space="preserve">report (PDF/CSV) — and emits a structured build specification: a baseline scenario</w:t>
      </w:r>
      <w:r>
        <w:t xml:space="preserve"> </w:t>
      </w:r>
      <w:r>
        <w:t xml:space="preserve">plus a set of target values and named pathophysiological modifiers. All model-facing</w:t>
      </w:r>
      <w:r>
        <w:t xml:space="preserve"> </w:t>
      </w:r>
      <w:r>
        <w:t xml:space="preserve">actions are expressed as validated commands drawn from a fixed allowlist, checked</w:t>
      </w:r>
      <w:r>
        <w:t xml:space="preserve"> </w:t>
      </w:r>
      <w:r>
        <w:t xml:space="preserve">against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parameter schema, unit conversions and physiological bounds used</w:t>
      </w:r>
      <w:r>
        <w:t xml:space="preserve"> </w:t>
      </w:r>
      <w:r>
        <w:t xml:space="preserve">by the interactive editor. An automatically generated command behaves exactly like a</w:t>
      </w:r>
      <w:r>
        <w:t xml:space="preserve"> </w:t>
      </w:r>
      <w:r>
        <w:t xml:space="preserve">vetted manual edit, and the agent cannot reach a parameter the interface itself would</w:t>
      </w:r>
      <w:r>
        <w:t xml:space="preserve"> </w:t>
      </w:r>
      <w:r>
        <w:t xml:space="preserve">refuse.</w:t>
      </w:r>
    </w:p>
    <w:p>
      <w:pPr>
        <w:pStyle w:val="BlockText"/>
      </w:pPr>
      <w:r>
        <w:rPr>
          <w:b/>
          <w:bCs/>
        </w:rPr>
        <w:t xml:space="preserve">Calibration layer.</w:t>
      </w:r>
      <w:r>
        <w:t xml:space="preserve"> </w:t>
      </w:r>
      <w:r>
        <w:t xml:space="preserve">Given the targets, the calibrator assigns one physiologically</w:t>
      </w:r>
      <w:r>
        <w:t xml:space="preserve"> </w:t>
      </w:r>
      <w:r>
        <w:t xml:space="preserve">interpretable lever to each measured quantity (Table X) and drives that quantity to</w:t>
      </w:r>
      <w:r>
        <w:t xml:space="preserve"> </w:t>
      </w:r>
      <w:r>
        <w:t xml:space="preserve">its target with a per-target one-dimensional root-finder. The lever value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is</w:t>
      </w:r>
      <w:r>
        <w:t xml:space="preserve"> </w:t>
      </w:r>
      <w:r>
        <w:t xml:space="preserve">updated from the measured value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toward the target</w:t>
      </w:r>
      <w:r>
        <w:t xml:space="preserve"> </w:t>
      </w:r>
      <w:r>
        <w:rPr>
          <w:i/>
          <w:iCs/>
        </w:rPr>
        <w:t xml:space="preserve">x*</w:t>
      </w:r>
      <w:r>
        <w:t xml:space="preserve">. Before two samples exist</w:t>
      </w:r>
      <w:r>
        <w:t xml:space="preserve"> </w:t>
      </w:r>
      <w:r>
        <w:t xml:space="preserve">the update is a proportional seed,</w:t>
      </w:r>
    </w:p>
    <w:p>
      <w:pPr>
        <w:pStyle w:val="BlockText"/>
      </w:pPr>
      <w:r>
        <w:rPr>
          <w:b/>
          <w:bCs/>
        </w:rPr>
        <w:t xml:space="preserve">Eq. 13</w:t>
      </w:r>
      <w:r>
        <w:t xml:space="preserve"> </w:t>
      </w:r>
      <w:r>
        <w:t xml:space="preserve">  l₍ₖ₊₁₎ = clamp( lₖ + s · g · (x* − xₖ) , l₍lo₎ , l₍hi₎ )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= ±1 is the sign of the lever→measurement relationship and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a seed gain.</w:t>
      </w:r>
      <w:r>
        <w:t xml:space="preserve"> </w:t>
      </w:r>
      <w:r>
        <w:t xml:space="preserve">Once two samples are available the calibrator switches to the secant method,</w:t>
      </w:r>
    </w:p>
    <w:p>
      <w:pPr>
        <w:pStyle w:val="BlockText"/>
      </w:pPr>
      <w:r>
        <w:rPr>
          <w:b/>
          <w:bCs/>
        </w:rPr>
        <w:t xml:space="preserve">Eq. 14</w:t>
      </w:r>
      <w:r>
        <w:t xml:space="preserve"> </w:t>
      </w:r>
      <w:r>
        <w:t xml:space="preserve">  mₖ = (xₖ − x₍ₖ₋₁₎) / (lₖ − l₍ₖ₋₁₎) ,   l₍ₖ₊₁₎ = clamp( lₖ + (x* − xₖ) / mₖ , l₍lo₎ , l₍hi₎ )</w:t>
      </w:r>
    </w:p>
    <w:p>
      <w:pPr>
        <w:pStyle w:val="BlockText"/>
      </w:pPr>
      <w:r>
        <w:t xml:space="preserve">in which</w:t>
      </w:r>
      <w:r>
        <w:t xml:space="preserve"> </w:t>
      </w:r>
      <w:r>
        <w:rPr>
          <w:i/>
          <w:iCs/>
        </w:rPr>
        <w:t xml:space="preserve">mₖ</w:t>
      </w:r>
      <w:r>
        <w:t xml:space="preserve"> </w:t>
      </w:r>
      <w:r>
        <w:t xml:space="preserve">is the locally estimated sensitivity of the measurement to the lever.</w:t>
      </w:r>
      <w:r>
        <w:t xml:space="preserve"> </w:t>
      </w:r>
      <w:r>
        <w:t xml:space="preserve">Each lever is bounded to a physiological interval [l₍lo₎, l₍hi₎]. The levers are run</w:t>
      </w:r>
      <w:r>
        <w:t xml:space="preserve"> </w:t>
      </w:r>
      <w:r>
        <w:t xml:space="preserve">together inside one loop: the model is advanced to steady state (settle), every</w:t>
      </w:r>
      <w:r>
        <w:t xml:space="preserve"> </w:t>
      </w:r>
      <w:r>
        <w:t xml:space="preserve">measured quantity is read as a beat-averaged mean over a short window, each lever is</w:t>
      </w:r>
      <w:r>
        <w:t xml:space="preserve"> </w:t>
      </w:r>
      <w:r>
        <w:t xml:space="preserve">nudged, and the model is advanced again (warm) before re-measuring. Iteration stops</w:t>
      </w:r>
      <w:r>
        <w:t xml:space="preserve"> </w:t>
      </w:r>
      <w:r>
        <w:t xml:space="preserve">when no lever moves — i.e. when every target satisfies the convergence criterion</w:t>
      </w:r>
    </w:p>
    <w:p>
      <w:pPr>
        <w:pStyle w:val="BlockText"/>
      </w:pPr>
      <w:r>
        <w:rPr>
          <w:b/>
          <w:bCs/>
        </w:rPr>
        <w:t xml:space="preserve">Eq. 15</w:t>
      </w:r>
      <w:r>
        <w:t xml:space="preserve"> </w:t>
      </w:r>
      <w:r>
        <w:t xml:space="preserve">  | x* − xₖ | ≤ τ</w:t>
      </w:r>
    </w:p>
    <w:p>
      <w:pPr>
        <w:pStyle w:val="BlockText"/>
      </w:pPr>
      <w:r>
        <w:t xml:space="preserve">with τ a clinician-meaningful tolerance band per quantity (MAP ±3 mmHg, CVP ±1.5</w:t>
      </w:r>
      <w:r>
        <w:t xml:space="preserve"> </w:t>
      </w:r>
      <w:r>
        <w:t xml:space="preserve">mmHg, mean PAP ±3 mmHg, HR ±6 min⁻¹, CO ±0.05 L·min⁻¹, SpO₂ ±2 %, PO₂ ±6 mmHg, PCO₂</w:t>
      </w:r>
      <w:r>
        <w:t xml:space="preserve"> </w:t>
      </w:r>
      <w:r>
        <w:t xml:space="preserve">±4 mmHg, pH ±0.03, base excess ±1.5 mmol·L⁻¹). A final undisturbed interval bakes the</w:t>
      </w:r>
      <w:r>
        <w:t xml:space="preserve"> </w:t>
      </w:r>
      <w:r>
        <w:t xml:space="preserve">equilibrium state.</w:t>
      </w:r>
    </w:p>
    <w:p>
      <w:pPr>
        <w:pStyle w:val="BlockText"/>
      </w:pPr>
      <w:r>
        <w:rPr>
          <w:b/>
          <w:bCs/>
        </w:rPr>
        <w:t xml:space="preserve">Levers.</w:t>
      </w:r>
      <w:r>
        <w:t xml:space="preserve"> </w:t>
      </w:r>
      <w:r>
        <w:t xml:space="preserve">For the cardiovascular targets each lever acts on a parameter already</w:t>
      </w:r>
      <w:r>
        <w:t xml:space="preserve"> </w:t>
      </w:r>
      <w:r>
        <w:t xml:space="preserve">defined in Sections 2.1–2.2: MAP is driven by systemic (arteriolar) resistance; CO by</w:t>
      </w:r>
      <w:r>
        <w:t xml:space="preserve"> </w:t>
      </w:r>
      <w:r>
        <w:t xml:space="preserve">ventricular maximum elastance (contractility, Eₘₐₓ); HR by the heart-rate reference of</w:t>
      </w:r>
      <w:r>
        <w:t xml:space="preserve"> </w:t>
      </w:r>
      <w:r>
        <w:t xml:space="preserve">the cardiac-rhythm model; CVP by systemic venous unstressed volume; and mean PAP by</w:t>
      </w:r>
      <w:r>
        <w:t xml:space="preserve"> </w:t>
      </w:r>
      <w:r>
        <w:t xml:space="preserve">pulmonary vascular resistance. Blood-gas targets are handled by the corresponding</w:t>
      </w:r>
      <w:r>
        <w:t xml:space="preserve"> </w:t>
      </w:r>
      <w:r>
        <w:t xml:space="preserve">respiratory and acid–base levers (alveolar O₂ diffusion for PO₂/SpO₂; central</w:t>
      </w:r>
      <w:r>
        <w:t xml:space="preserve"> </w:t>
      </w:r>
      <w:r>
        <w:t xml:space="preserve">ventilatory drive for PCO₂; Stewart unmeasured strong-ion difference for base excess</w:t>
      </w:r>
      <w:r>
        <w:t xml:space="preserve"> </w:t>
      </w:r>
      <w:r>
        <w:t xml:space="preserve">and pH) and are described with those models in the companion papers.</w:t>
      </w:r>
    </w:p>
    <w:p>
      <w:pPr>
        <w:pStyle w:val="BlockText"/>
      </w:pPr>
      <w:r>
        <w:rPr>
          <w:b/>
          <w:bCs/>
        </w:rPr>
        <w:t xml:space="preserve">Body size and initial guess.</w:t>
      </w:r>
      <w:r>
        <w:t xml:space="preserve"> </w:t>
      </w:r>
      <w:r>
        <w:t xml:space="preserve">Body-size differences are handled first, once, by</w:t>
      </w:r>
      <w:r>
        <w:t xml:space="preserve"> </w:t>
      </w:r>
      <w:r>
        <w:t xml:space="preserve">allometric scaling of blood volumes, elastances and resistances to the target weight.</w:t>
      </w:r>
      <w:r>
        <w:t xml:space="preserve"> </w:t>
      </w:r>
      <w:r>
        <w:t xml:space="preserve">For preterm patients a gestational-age–indexed seed sets the starting lever values</w:t>
      </w:r>
      <w:r>
        <w:t xml:space="preserve"> </w:t>
      </w:r>
      <w:r>
        <w:t xml:space="preserve">(and structural features such as reduced contractility, stiffer diastole, lung</w:t>
      </w:r>
      <w:r>
        <w:t xml:space="preserve"> </w:t>
      </w:r>
      <w:r>
        <w:t xml:space="preserve">immaturity and ductal patency) so that calibration begins close to convergence. The</w:t>
      </w:r>
      <w:r>
        <w:t xml:space="preserve"> </w:t>
      </w:r>
      <w:r>
        <w:t xml:space="preserve">iterative levers above then resolve the residual mismatch. Crucially, the baroreflex</w:t>
      </w:r>
      <w:r>
        <w:t xml:space="preserve"> </w:t>
      </w:r>
      <w:r>
        <w:t xml:space="preserve">arterial-pressure set-point is aligned to the requested MAP, so that the autonomic</w:t>
      </w:r>
      <w:r>
        <w:t xml:space="preserve"> </w:t>
      </w:r>
      <w:r>
        <w:t xml:space="preserve">control loop of Sections 2.1–2.2 defends — rather than opposes — the calibrated</w:t>
      </w:r>
      <w:r>
        <w:t xml:space="preserve"> </w:t>
      </w:r>
      <w:r>
        <w:t xml:space="preserve">operating point.</w:t>
      </w:r>
    </w:p>
    <w:p>
      <w:pPr>
        <w:pStyle w:val="BlockText"/>
      </w:pPr>
      <w:r>
        <w:rPr>
          <w:b/>
          <w:bCs/>
        </w:rPr>
        <w:t xml:space="preserve">Two entry points.</w:t>
      </w:r>
      <w:r>
        <w:t xml:space="preserve"> </w:t>
      </w:r>
      <w:r>
        <w:t xml:space="preserve">The same calibrator serves (i) offline</w:t>
      </w:r>
      <w:r>
        <w:t xml:space="preserve"> </w:t>
      </w:r>
      <w:r>
        <w:rPr>
          <w:i/>
          <w:iCs/>
        </w:rPr>
        <w:t xml:space="preserve">patient construction</w:t>
      </w:r>
      <w:r>
        <w:t xml:space="preserve">,</w:t>
      </w:r>
      <w:r>
        <w:t xml:space="preserve"> </w:t>
      </w:r>
      <w:r>
        <w:t xml:space="preserve">which builds and bakes a new, fully calibrated scenario that the application loads</w:t>
      </w:r>
      <w:r>
        <w:t xml:space="preserve"> </w:t>
      </w:r>
      <w:r>
        <w:t xml:space="preserve">immediately, and (ii) live</w:t>
      </w:r>
      <w:r>
        <w:t xml:space="preserve"> </w:t>
      </w:r>
      <w:r>
        <w:rPr>
          <w:i/>
          <w:iCs/>
        </w:rPr>
        <w:t xml:space="preserve">in-place tuning</w:t>
      </w:r>
      <w:r>
        <w:t xml:space="preserve">, which drives an already-running</w:t>
      </w:r>
      <w:r>
        <w:t xml:space="preserve"> </w:t>
      </w:r>
      <w:r>
        <w:t xml:space="preserve">simulation to new targets without a reload. The live path deliberately uses composable,</w:t>
      </w:r>
      <w:r>
        <w:t xml:space="preserve"> </w:t>
      </w:r>
      <w:r>
        <w:t xml:space="preserve">persistent multiplier levers so that a tuning step stacks on top of any body-size or</w:t>
      </w:r>
      <w:r>
        <w:t xml:space="preserve"> </w:t>
      </w:r>
      <w:r>
        <w:t xml:space="preserve">pathophysiological scaling already baked into the loaded patient rather than</w:t>
      </w:r>
      <w:r>
        <w:t xml:space="preserve"> </w:t>
      </w:r>
      <w:r>
        <w:t xml:space="preserve">overwriting it. Because the levers interact through the shared circulation (for</w:t>
      </w:r>
      <w:r>
        <w:t xml:space="preserve"> </w:t>
      </w:r>
      <w:r>
        <w:t xml:space="preserve">example blood volume, venous tone and MAP, or contractility and CO), convergence of</w:t>
      </w:r>
      <w:r>
        <w:t xml:space="preserve"> </w:t>
      </w:r>
      <w:r>
        <w:t xml:space="preserve">the joint problem is not guaranteed for arbitrary target combinations; in practice the</w:t>
      </w:r>
      <w:r>
        <w:t xml:space="preserve"> </w:t>
      </w:r>
      <w:r>
        <w:t xml:space="preserve">physiological seeds and set-point alignment of the construction path keep the joint</w:t>
      </w:r>
      <w:r>
        <w:t xml:space="preserve"> </w:t>
      </w:r>
      <w:r>
        <w:t xml:space="preserve">problem well conditioned.</w:t>
      </w:r>
    </w:p>
    <w:p>
      <w:pPr>
        <w:pStyle w:val="BlockText"/>
      </w:pPr>
      <w:r>
        <w:rPr>
          <w:b/>
          <w:bCs/>
        </w:rPr>
        <w:t xml:space="preserve">[Callout for reviewers — worked example (real output; move to Results/Supplement or</w:t>
      </w:r>
      <w:r>
        <w:rPr>
          <w:b/>
          <w:bCs/>
        </w:rPr>
        <w:t xml:space="preserve"> </w:t>
      </w:r>
      <w:r>
        <w:rPr>
          <w:b/>
          <w:bCs/>
        </w:rPr>
        <w:t xml:space="preserve">drop as preferred).]</w:t>
      </w:r>
      <w:r>
        <w:t xml:space="preserve"> </w:t>
      </w:r>
      <w:r>
        <w:t xml:space="preserve">Constructing a 1.0 kg, 28-week preterm patient from the term</w:t>
      </w:r>
      <w:r>
        <w:t xml:space="preserve"> </w:t>
      </w:r>
      <w:r>
        <w:t xml:space="preserve">baseline with targets HR = 152 min⁻¹, MAP = 33 mmHg and CO = 0.30 L·min⁻¹, the pipeline</w:t>
      </w:r>
      <w:r>
        <w:t xml:space="preserve"> </w:t>
      </w:r>
      <w:r>
        <w:t xml:space="preserve">converged in a single iteration with all targets within tolerance (final HR 148,</w:t>
      </w:r>
      <w:r>
        <w:t xml:space="preserve"> </w:t>
      </w:r>
      <w:r>
        <w:t xml:space="preserve">Δ −3.6; MAP 30.3, Δ −2.7; CO within band), and the untargeted vitals (CVP 0.8 mmHg,</w:t>
      </w:r>
      <w:r>
        <w:t xml:space="preserve"> </w:t>
      </w:r>
      <w:r>
        <w:t xml:space="preserve">mean PAP 20 mmHg, SpO₂ 92 %, pH 7.36, base excess −3.2) fell within the preterm normal</w:t>
      </w:r>
      <w:r>
        <w:t xml:space="preserve"> </w:t>
      </w:r>
      <w:r>
        <w:t xml:space="preserve">reference ranges.</w:t>
      </w:r>
    </w:p>
    <w:p>
      <w:pPr>
        <w:pStyle w:val="FirstParagraph"/>
      </w:pPr>
      <w:r>
        <w:rPr>
          <w:b/>
          <w:bCs/>
        </w:rPr>
        <w:t xml:space="preserve">Also add Table X (new), placed with §2.4:</w:t>
      </w:r>
    </w:p>
    <w:p>
      <w:pPr>
        <w:pStyle w:val="BlockText"/>
      </w:pPr>
      <w:r>
        <w:rPr>
          <w:b/>
          <w:bCs/>
        </w:rPr>
        <w:t xml:space="preserve">Table X. Calibration levers.</w:t>
      </w:r>
      <w:r>
        <w:t xml:space="preserve"> </w:t>
      </w:r>
      <w:r>
        <w:t xml:space="preserve">Each measured cardiovascular target is driven to its</w:t>
      </w:r>
      <w:r>
        <w:t xml:space="preserve"> </w:t>
      </w:r>
      <w:r>
        <w:t xml:space="preserve">value by a single physiologically interpretable lever (parameters defined in Sections</w:t>
      </w:r>
      <w:r>
        <w:t xml:space="preserve"> </w:t>
      </w:r>
      <w:r>
        <w:t xml:space="preserve">2.1–2.2). Sign indicates the direction of the lever→target relationship.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arterial pressure (MAP)</w:t>
            </w:r>
          </w:p>
        </w:tc>
        <w:tc>
          <w:tcPr/>
          <w:p>
            <w:pPr>
              <w:pStyle w:val="Compact"/>
            </w:pPr>
            <w:r>
              <w:t xml:space="preserve">systemic (arteriolar) resistance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 output (CO)</w:t>
            </w:r>
          </w:p>
        </w:tc>
        <w:tc>
          <w:tcPr/>
          <w:p>
            <w:pPr>
              <w:pStyle w:val="Compact"/>
            </w:pPr>
            <w:r>
              <w:t xml:space="preserve">ventricular contractility, Eₘₐₓ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 (HR)</w:t>
            </w:r>
          </w:p>
        </w:tc>
        <w:tc>
          <w:tcPr/>
          <w:p>
            <w:pPr>
              <w:pStyle w:val="Compact"/>
            </w:pPr>
            <w:r>
              <w:t xml:space="preserve">heart-rate reference (SA-node rate)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venous pressure (CVP)</w:t>
            </w:r>
          </w:p>
        </w:tc>
        <w:tc>
          <w:tcPr/>
          <w:p>
            <w:pPr>
              <w:pStyle w:val="Compact"/>
            </w:pPr>
            <w:r>
              <w:t xml:space="preserve">systemic venous unstressed volume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pulmonary artery pressure (PAP)</w:t>
            </w:r>
          </w:p>
        </w:tc>
        <w:tc>
          <w:tcPr/>
          <w:p>
            <w:pPr>
              <w:pStyle w:val="Compact"/>
            </w:pPr>
            <w:r>
              <w:t xml:space="preserve">pulmonary vascular resistance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PO₂ / SpO₂</w:t>
            </w:r>
          </w:p>
        </w:tc>
        <w:tc>
          <w:tcPr/>
          <w:p>
            <w:pPr>
              <w:pStyle w:val="Compact"/>
            </w:pPr>
            <w:r>
              <w:t xml:space="preserve">alveolar O₂ diffusion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PCO₂</w:t>
            </w:r>
          </w:p>
        </w:tc>
        <w:tc>
          <w:tcPr/>
          <w:p>
            <w:pPr>
              <w:pStyle w:val="Compact"/>
            </w:pPr>
            <w:r>
              <w:t xml:space="preserve">central ventilatory drive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excess / pH</w:t>
            </w:r>
          </w:p>
        </w:tc>
        <w:tc>
          <w:tcPr/>
          <w:p>
            <w:pPr>
              <w:pStyle w:val="Compact"/>
            </w:pPr>
            <w:r>
              <w:t xml:space="preserve">Stewart unmeasured anions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5088abb2707ac4ec32457d5d9d7f09e99bc5b49"/>
    <w:p>
      <w:pPr>
        <w:pStyle w:val="Heading2"/>
      </w:pPr>
      <w:r>
        <w:t xml:space="preserve">Block B — Abstract (insert one–two sentences; suggested placement after the</w:t>
      </w:r>
    </w:p>
    <w:p>
      <w:pPr>
        <w:pStyle w:val="FirstParagraph"/>
      </w:pPr>
      <w:r>
        <w:t xml:space="preserve">“multiple neonatal-specific features”</w:t>
      </w:r>
      <w:r>
        <w:t xml:space="preserve"> </w:t>
      </w:r>
      <w:r>
        <w:t xml:space="preserve">sentence, before the demonstration sentence)</w:t>
      </w:r>
    </w:p>
    <w:p>
      <w:pPr>
        <w:pStyle w:val="BlockText"/>
      </w:pPr>
      <w:r>
        <w:t xml:space="preserve">To instantiate the model for an individual patient, EXPLAIN is parameterized by an</w:t>
      </w:r>
      <w:r>
        <w:t xml:space="preserve"> </w:t>
      </w:r>
      <w:r>
        <w:t xml:space="preserve">AI-assisted, closed-loop pipeline in which a large language model interprets the</w:t>
      </w:r>
      <w:r>
        <w:t xml:space="preserve"> </w:t>
      </w:r>
      <w:r>
        <w:t xml:space="preserve">available clinical targets and a deterministic calibrator fits the mechanistic model</w:t>
      </w:r>
      <w:r>
        <w:t xml:space="preserve"> </w:t>
      </w:r>
      <w:r>
        <w:t xml:space="preserve">to within clinician-meaningful tolerances; this pipeline was used to generate the</w:t>
      </w:r>
      <w:r>
        <w:t xml:space="preserve"> </w:t>
      </w:r>
      <w:r>
        <w:t xml:space="preserve">patient-specific configurations validated here.</w:t>
      </w:r>
    </w:p>
    <w:p>
      <w:r>
        <w:pict>
          <v:rect style="width:0;height:1.5pt" o:hralign="center" o:hrstd="t" o:hr="t"/>
        </w:pict>
      </w:r>
    </w:p>
    <w:bookmarkEnd w:id="10"/>
    <w:bookmarkStart w:id="11" w:name="X3068fc6797a389170525dacc338ec13ca6c43ab"/>
    <w:p>
      <w:pPr>
        <w:pStyle w:val="Heading2"/>
      </w:pPr>
      <w:r>
        <w:t xml:space="preserve">Block C — Introduction (insert one sentence near the end of the introduction,</w:t>
      </w:r>
    </w:p>
    <w:p>
      <w:pPr>
        <w:pStyle w:val="FirstParagraph"/>
      </w:pPr>
      <w:r>
        <w:t xml:space="preserve">after</w:t>
      </w:r>
      <w:r>
        <w:t xml:space="preserve"> </w:t>
      </w:r>
      <w:r>
        <w:t xml:space="preserve">“…validated at baseline, and for the PDA and aPH conditions.”</w:t>
      </w:r>
      <w:r>
        <w:t xml:space="preserve">)</w:t>
      </w:r>
    </w:p>
    <w:p>
      <w:pPr>
        <w:pStyle w:val="BlockText"/>
      </w:pPr>
      <w:r>
        <w:t xml:space="preserve">A second contribution is a method for patient-specific parameterization of the model:</w:t>
      </w:r>
      <w:r>
        <w:t xml:space="preserve"> </w:t>
      </w:r>
      <w:r>
        <w:t xml:space="preserve">an AI-assisted, closed-loop calibration pipeline that maps a small set of measured</w:t>
      </w:r>
      <w:r>
        <w:t xml:space="preserve"> </w:t>
      </w:r>
      <w:r>
        <w:t xml:space="preserve">clinical targets onto the model’s parameters, and which we use to construct the</w:t>
      </w:r>
      <w:r>
        <w:t xml:space="preserve"> </w:t>
      </w:r>
      <w:r>
        <w:t xml:space="preserve">validation cases presented below.</w:t>
      </w:r>
    </w:p>
    <w:p>
      <w:r>
        <w:pict>
          <v:rect style="width:0;height:1.5pt" o:hralign="center" o:hrstd="t" o:hr="t"/>
        </w:pict>
      </w:r>
    </w:p>
    <w:bookmarkEnd w:id="11"/>
    <w:bookmarkStart w:id="12" w:name="X4adf6d2d27b7b2ca9c7d08af93b6176abe13f2d"/>
    <w:p>
      <w:pPr>
        <w:pStyle w:val="Heading2"/>
      </w:pPr>
      <w:r>
        <w:t xml:space="preserve">Block D — Results reframe (replacements; keep every reported number unchanged)</w:t>
      </w:r>
    </w:p>
    <w:p>
      <w:pPr>
        <w:pStyle w:val="FirstParagraph"/>
      </w:pPr>
      <w:r>
        <w:rPr>
          <w:b/>
          <w:bCs/>
        </w:rPr>
        <w:t xml:space="preserve">D1 — §3.1.2 (PDA).</w:t>
      </w:r>
      <w:r>
        <w:t xml:space="preserve"> </w:t>
      </w:r>
      <w:r>
        <w:t xml:space="preserve">Replace the sentence:</w:t>
      </w:r>
    </w:p>
    <w:p>
      <w:pPr>
        <w:pStyle w:val="BlockText"/>
      </w:pPr>
      <w:r>
        <w:rPr>
          <w:strike/>
        </w:rPr>
        <w:t xml:space="preserve">EXPLAIN’s model parameters were rescaled to match the baseline premature infant</w:t>
      </w:r>
      <w:r>
        <w:rPr>
          <w:strike/>
        </w:rPr>
        <w:t xml:space="preserve"> </w:t>
      </w:r>
      <w:r>
        <w:rPr>
          <w:strike/>
        </w:rPr>
        <w:t xml:space="preserve">physiology reported by Bischoff et al. by adjusting blood volume, unstressed volumes,</w:t>
      </w:r>
      <w:r>
        <w:rPr>
          <w:strike/>
        </w:rPr>
        <w:t xml:space="preserve"> </w:t>
      </w:r>
      <w:r>
        <w:rPr>
          <w:strike/>
        </w:rPr>
        <w:t xml:space="preserve">elastances, and resistances proportional to weight, with minor additional tuning of</w:t>
      </w:r>
      <w:r>
        <w:rPr>
          <w:strike/>
        </w:rPr>
        <w:t xml:space="preserve"> </w:t>
      </w:r>
      <w:r>
        <w:rPr>
          <w:strike/>
        </w:rPr>
        <w:t xml:space="preserve">arterial resistances.</w:t>
      </w:r>
    </w:p>
    <w:p>
      <w:pPr>
        <w:pStyle w:val="FirstParagraph"/>
      </w:pPr>
      <w:r>
        <w:t xml:space="preserve">with:</w:t>
      </w:r>
    </w:p>
    <w:p>
      <w:pPr>
        <w:pStyle w:val="BlockText"/>
      </w:pPr>
      <w:r>
        <w:t xml:space="preserve">The baseline premature-infant configuration reported by Bischoff et al. was produced</w:t>
      </w:r>
      <w:r>
        <w:t xml:space="preserve"> </w:t>
      </w:r>
      <w:r>
        <w:t xml:space="preserve">with the AI-assisted closed-loop parameterization pipeline of Section 2.4: blood</w:t>
      </w:r>
      <w:r>
        <w:t xml:space="preserve"> </w:t>
      </w:r>
      <w:r>
        <w:t xml:space="preserve">volumes, unstressed volumes, elastances and resistances were first scaled</w:t>
      </w:r>
      <w:r>
        <w:t xml:space="preserve"> </w:t>
      </w:r>
      <w:r>
        <w:t xml:space="preserve">allometrically to the reported weight, after which the iterative levers (Table X)</w:t>
      </w:r>
      <w:r>
        <w:t xml:space="preserve"> </w:t>
      </w:r>
      <w:r>
        <w:t xml:space="preserve">calibrated the model to the reported baseline hemodynamic targets.</w:t>
      </w:r>
    </w:p>
    <w:p>
      <w:pPr>
        <w:pStyle w:val="FirstParagraph"/>
      </w:pPr>
      <w:r>
        <w:t xml:space="preserve">(The subsequent sentences describing the bidirectional shunt at a 2.2 mm ductus diameter</w:t>
      </w:r>
      <w:r>
        <w:t xml:space="preserve"> </w:t>
      </w:r>
      <w:r>
        <w:t xml:space="preserve">and the significant left-to-right shunt achieving an LVO/RVO of 1.55 stay as written —</w:t>
      </w:r>
      <w:r>
        <w:t xml:space="preserve"> </w:t>
      </w:r>
      <w:r>
        <w:t xml:space="preserve">they describe the pathophysiological modifiers applied on top of the calibrated</w:t>
      </w:r>
      <w:r>
        <w:t xml:space="preserve"> </w:t>
      </w:r>
      <w:r>
        <w:t xml:space="preserve">baseline.)</w:t>
      </w:r>
    </w:p>
    <w:p>
      <w:pPr>
        <w:pStyle w:val="BodyText"/>
      </w:pPr>
      <w:r>
        <w:rPr>
          <w:b/>
          <w:bCs/>
        </w:rPr>
        <w:t xml:space="preserve">D2 — §3.1.3 (PH).</w:t>
      </w:r>
      <w:r>
        <w:t xml:space="preserve"> </w:t>
      </w:r>
      <w:r>
        <w:t xml:space="preserve">After the existing sentence describing how PH is simulated</w:t>
      </w:r>
      <w:r>
        <w:t xml:space="preserve"> </w:t>
      </w:r>
      <w:r>
        <w:t xml:space="preserve">(</w:t>
      </w:r>
      <w:r>
        <w:t xml:space="preserve">“…by increasing the resistance in the pathways connecting the left and right pulmonary</w:t>
      </w:r>
      <w:r>
        <w:t xml:space="preserve"> </w:t>
      </w:r>
      <w:r>
        <w:t xml:space="preserve">artery capacitance (PAAL, PAAR) … and by modifying the baseline elastance of the</w:t>
      </w:r>
      <w:r>
        <w:t xml:space="preserve"> </w:t>
      </w:r>
      <w:r>
        <w:t xml:space="preserve">pulmonary arteries capacitance…”</w:t>
      </w:r>
      <w:r>
        <w:t xml:space="preserve">), add:</w:t>
      </w:r>
    </w:p>
    <w:p>
      <w:pPr>
        <w:pStyle w:val="BlockText"/>
      </w:pPr>
      <w:r>
        <w:t xml:space="preserve">As in the PDA case, the underlying patient baseline was established with the</w:t>
      </w:r>
      <w:r>
        <w:t xml:space="preserve"> </w:t>
      </w:r>
      <w:r>
        <w:t xml:space="preserve">parameterization pipeline of Section 2.4; the pulmonary-resistance and</w:t>
      </w:r>
      <w:r>
        <w:t xml:space="preserve"> </w:t>
      </w:r>
      <w:r>
        <w:t xml:space="preserve">pulmonary-artery-elastance changes representing each PH stage were then applied on</w:t>
      </w:r>
      <w:r>
        <w:t xml:space="preserve"> </w:t>
      </w:r>
      <w:r>
        <w:t xml:space="preserve">top of that calibrated baseline.</w:t>
      </w:r>
    </w:p>
    <w:p>
      <w:r>
        <w:pict>
          <v:rect style="width:0;height:1.5pt" o:hralign="center" o:hrstd="t" o:hr="t"/>
        </w:pict>
      </w:r>
    </w:p>
    <w:bookmarkEnd w:id="12"/>
    <w:bookmarkStart w:id="13" w:name="X5440f9e1e0aa1b7f1435d601b4aabeee9bee7e5"/>
    <w:p>
      <w:pPr>
        <w:pStyle w:val="Heading2"/>
      </w:pPr>
      <w:r>
        <w:t xml:space="preserve">Block E — §2.3 Software implementation (replacement of the Python-specific text)</w:t>
      </w:r>
    </w:p>
    <w:p>
      <w:pPr>
        <w:pStyle w:val="FirstParagraph"/>
      </w:pPr>
      <w:r>
        <w:t xml:space="preserve">Replace the paragraph that begins</w:t>
      </w:r>
      <w:r>
        <w:t xml:space="preserve"> </w:t>
      </w:r>
      <w:r>
        <w:rPr>
          <w:i/>
          <w:iCs/>
        </w:rPr>
        <w:t xml:space="preserve">“The model developer environment is implemented in</w:t>
      </w:r>
      <w:r>
        <w:rPr>
          <w:i/>
          <w:iCs/>
        </w:rPr>
        <w:t xml:space="preserve"> </w:t>
      </w:r>
      <w:r>
        <w:rPr>
          <w:i/>
          <w:iCs/>
        </w:rPr>
        <w:t xml:space="preserve">an interactive Python notebook…”</w:t>
      </w:r>
      <w:r>
        <w:t xml:space="preserve"> </w:t>
      </w:r>
      <w:r>
        <w:t xml:space="preserve">(and adjust the earlier</w:t>
      </w:r>
      <w:r>
        <w:t xml:space="preserve"> </w:t>
      </w:r>
      <w:r>
        <w:t xml:space="preserve">“source code of the Python</w:t>
      </w:r>
      <w:r>
        <w:t xml:space="preserve"> </w:t>
      </w:r>
      <w:r>
        <w:t xml:space="preserve">implementation … available upon request”</w:t>
      </w:r>
      <w:r>
        <w:t xml:space="preserve"> </w:t>
      </w:r>
      <w:r>
        <w:t xml:space="preserve">sentence) with:</w:t>
      </w:r>
    </w:p>
    <w:p>
      <w:pPr>
        <w:pStyle w:val="BlockText"/>
      </w:pPr>
      <w:r>
        <w:t xml:space="preserve">EXPLAIN is implemented as a framework-agnostic simulation engine written in</w:t>
      </w:r>
      <w:r>
        <w:t xml:space="preserve"> </w:t>
      </w:r>
      <w:r>
        <w:t xml:space="preserve">JavaScript/TypeScript. The engine runs inside a Web Worker — a background execution</w:t>
      </w:r>
      <w:r>
        <w:t xml:space="preserve"> </w:t>
      </w:r>
      <w:r>
        <w:t xml:space="preserve">thread separate from the user interface — and communicates with the application</w:t>
      </w:r>
      <w:r>
        <w:t xml:space="preserve"> </w:t>
      </w:r>
      <w:r>
        <w:t xml:space="preserve">through a simple message-passing protocol, so that the physics loop advances</w:t>
      </w:r>
      <w:r>
        <w:t xml:space="preserve"> </w:t>
      </w:r>
      <w:r>
        <w:t xml:space="preserve">independently of rendering and user interaction and the model can run in real time in</w:t>
      </w:r>
      <w:r>
        <w:t xml:space="preserve"> </w:t>
      </w:r>
      <w:r>
        <w:t xml:space="preserve">a standard web browser. Each physiological component is a small, self-contained module</w:t>
      </w:r>
      <w:r>
        <w:t xml:space="preserve"> </w:t>
      </w:r>
      <w:r>
        <w:t xml:space="preserve">that implements the equations of Section 2.2; complete scenarios (baseline anatomy,</w:t>
      </w:r>
      <w:r>
        <w:t xml:space="preserve"> </w:t>
      </w:r>
      <w:r>
        <w:t xml:space="preserve">parameters and initial state) are defined declaratively as JSON model definitions,</w:t>
      </w:r>
      <w:r>
        <w:t xml:space="preserve"> </w:t>
      </w:r>
      <w:r>
        <w:t xml:space="preserve">which makes patient profiles and structural variants straightforward to inspect, share</w:t>
      </w:r>
      <w:r>
        <w:t xml:space="preserve"> </w:t>
      </w:r>
      <w:r>
        <w:t xml:space="preserve">and modify. The interactive application, built on the Vue framework, presents the</w:t>
      </w:r>
      <w:r>
        <w:t xml:space="preserve"> </w:t>
      </w:r>
      <w:r>
        <w:t xml:space="preserve">animated model, parameter editors and clinical monitors, and is freely available at</w:t>
      </w:r>
      <w:r>
        <w:t xml:space="preserve"> </w:t>
      </w:r>
      <w:r>
        <w:t xml:space="preserve">https://explain-user.com. The engine source code is extensively annotated and</w:t>
      </w:r>
      <w:r>
        <w:t xml:space="preserve"> </w:t>
      </w:r>
      <w:r>
        <w:t xml:space="preserve">available upon request.</w:t>
      </w:r>
    </w:p>
    <w:p>
      <w:pPr>
        <w:pStyle w:val="FirstParagraph"/>
      </w:pPr>
      <w:r>
        <w:t xml:space="preserve">The bulleted lists of what</w:t>
      </w:r>
      <w:r>
        <w:t xml:space="preserve"> </w:t>
      </w:r>
      <w:r>
        <w:t xml:space="preserve">“developers should be able to”</w:t>
      </w:r>
      <w:r>
        <w:t xml:space="preserve"> </w:t>
      </w:r>
      <w:r>
        <w:t xml:space="preserve">do can be retained; only</w:t>
      </w:r>
      <w:r>
        <w:t xml:space="preserve"> </w:t>
      </w:r>
      <w:r>
        <w:t xml:space="preserve">replace</w:t>
      </w:r>
      <w:r>
        <w:t xml:space="preserve"> </w:t>
      </w:r>
      <w:r>
        <w:t xml:space="preserve">“Python”</w:t>
      </w:r>
      <w:r>
        <w:t xml:space="preserve">/</w:t>
      </w:r>
      <w:r>
        <w:t xml:space="preserve">“notebook”</w:t>
      </w:r>
      <w:r>
        <w:t xml:space="preserve"> </w:t>
      </w:r>
      <w:r>
        <w:t xml:space="preserve">phrasing to match the description above (e.g. </w:t>
      </w:r>
      <w:r>
        <w:t xml:space="preserve">“modify a</w:t>
      </w:r>
      <w:r>
        <w:t xml:space="preserve"> </w:t>
      </w:r>
      <w:r>
        <w:t xml:space="preserve">model definition to create a hypotensive patient”</w:t>
      </w:r>
      <w:r>
        <w:t xml:space="preserve">,</w:t>
      </w:r>
      <w:r>
        <w:t xml:space="preserve"> </w:t>
      </w:r>
      <w:r>
        <w:t xml:space="preserve">“add a component module”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E-consistency — remove the two remaining</w:t>
      </w:r>
      <w:r>
        <w:rPr>
          <w:b/>
          <w:bCs/>
        </w:rPr>
        <w:t xml:space="preserve"> </w:t>
      </w:r>
      <w:r>
        <w:rPr>
          <w:b/>
          <w:bCs/>
        </w:rPr>
        <w:t xml:space="preserve">“Python”</w:t>
      </w:r>
      <w:r>
        <w:rPr>
          <w:b/>
          <w:bCs/>
        </w:rPr>
        <w:t xml:space="preserve"> </w:t>
      </w:r>
      <w:r>
        <w:rPr>
          <w:b/>
          <w:bCs/>
        </w:rPr>
        <w:t xml:space="preserve">claims elsewhere: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Abstract: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“annotated Python source code is provided for researchers,</w:t>
      </w:r>
      <w:r>
        <w:rPr>
          <w:i/>
          <w:iCs/>
        </w:rPr>
        <w:t xml:space="preserve"> </w:t>
      </w:r>
      <w:r>
        <w:rPr>
          <w:i/>
          <w:iCs/>
        </w:rPr>
        <w:t xml:space="preserve">ensuring transparency and extensibility”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“annotated source code is available to</w:t>
      </w:r>
      <w:r>
        <w:rPr>
          <w:i/>
          <w:iCs/>
        </w:rPr>
        <w:t xml:space="preserve"> </w:t>
      </w:r>
      <w:r>
        <w:rPr>
          <w:i/>
          <w:iCs/>
        </w:rPr>
        <w:t xml:space="preserve">researchers, ensuring transparency and extensibility.”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Introduction: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“The complete source code in Python is available upon</w:t>
      </w:r>
      <w:r>
        <w:rPr>
          <w:i/>
          <w:iCs/>
        </w:rPr>
        <w:t xml:space="preserve"> </w:t>
      </w:r>
      <w:r>
        <w:rPr>
          <w:i/>
          <w:iCs/>
        </w:rPr>
        <w:t xml:space="preserve">request.”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“The complete source code is available upon request.”</w:t>
      </w:r>
      <w:r>
        <w:t xml:space="preserve"> </w:t>
      </w:r>
      <w:r>
        <w:t xml:space="preserve">- The two availability statements (abstract, §4.3) and the URL https://explain-user.com</w:t>
      </w:r>
      <w:r>
        <w:t xml:space="preserve"> </w:t>
      </w:r>
      <w:r>
        <w:t xml:space="preserve">remain consistent with Block E — no other change needed.</w:t>
      </w:r>
    </w:p>
    <w:p>
      <w:r>
        <w:pict>
          <v:rect style="width:0;height:1.5pt" o:hralign="center" o:hrstd="t" o:hr="t"/>
        </w:pict>
      </w:r>
    </w:p>
    <w:bookmarkEnd w:id="13"/>
    <w:bookmarkStart w:id="14" w:name="block-f-discussion-edits"/>
    <w:p>
      <w:pPr>
        <w:pStyle w:val="Heading2"/>
      </w:pPr>
      <w:r>
        <w:t xml:space="preserve">Block F — Discussion edits</w:t>
      </w:r>
    </w:p>
    <w:p>
      <w:pPr>
        <w:pStyle w:val="FirstParagraph"/>
      </w:pPr>
      <w:r>
        <w:rPr>
          <w:b/>
          <w:bCs/>
        </w:rPr>
        <w:t xml:space="preserve">F1 — §4.1 Model originality.</w:t>
      </w:r>
      <w:r>
        <w:t xml:space="preserve"> </w:t>
      </w:r>
      <w:r>
        <w:t xml:space="preserve">Append:</w:t>
      </w:r>
    </w:p>
    <w:p>
      <w:pPr>
        <w:pStyle w:val="BlockText"/>
      </w:pPr>
      <w:r>
        <w:t xml:space="preserve">A further element of originality is the parameterization method: rather than tuning</w:t>
      </w:r>
      <w:r>
        <w:t xml:space="preserve"> </w:t>
      </w:r>
      <w:r>
        <w:t xml:space="preserve">parameters by hand, EXPLAIN is fitted to a patient by an AI-assisted closed-loop</w:t>
      </w:r>
      <w:r>
        <w:t xml:space="preserve"> </w:t>
      </w:r>
      <w:r>
        <w:t xml:space="preserve">pipeline in which a large language model translates clinical targets into a validated</w:t>
      </w:r>
      <w:r>
        <w:t xml:space="preserve"> </w:t>
      </w:r>
      <w:r>
        <w:t xml:space="preserve">specification and a deterministic secant-based calibrator drives the mechanistic</w:t>
      </w:r>
      <w:r>
        <w:t xml:space="preserve"> </w:t>
      </w:r>
      <w:r>
        <w:t xml:space="preserve">model onto those targets. This makes patient-specific instantiation reproducible and</w:t>
      </w:r>
      <w:r>
        <w:t xml:space="preserve"> </w:t>
      </w:r>
      <w:r>
        <w:t xml:space="preserve">keeps every automated adjustment within the same bounds as a manual edit.</w:t>
      </w:r>
    </w:p>
    <w:p>
      <w:pPr>
        <w:pStyle w:val="FirstParagraph"/>
      </w:pPr>
      <w:r>
        <w:rPr>
          <w:b/>
          <w:bCs/>
        </w:rPr>
        <w:t xml:space="preserve">F2 — §4.5 Future work.</w:t>
      </w:r>
      <w:r>
        <w:t xml:space="preserve"> </w:t>
      </w:r>
      <w:r>
        <w:t xml:space="preserve">Replace the sentence:</w:t>
      </w:r>
    </w:p>
    <w:p>
      <w:pPr>
        <w:pStyle w:val="BlockText"/>
      </w:pPr>
      <w:r>
        <w:rPr>
          <w:strike/>
        </w:rPr>
        <w:t xml:space="preserve">Following a systematic sensitivity analysis, future work will focus on the</w:t>
      </w:r>
      <w:r>
        <w:rPr>
          <w:strike/>
        </w:rPr>
        <w:t xml:space="preserve"> </w:t>
      </w:r>
      <w:r>
        <w:rPr>
          <w:strike/>
        </w:rPr>
        <w:t xml:space="preserve">development of parameter-optimization pipelines for patient-specific model fitting,</w:t>
      </w:r>
      <w:r>
        <w:rPr>
          <w:strike/>
        </w:rPr>
        <w:t xml:space="preserve"> </w:t>
      </w:r>
      <w:r>
        <w:rPr>
          <w:strike/>
        </w:rPr>
        <w:t xml:space="preserve">using machine-learning and other artificial-intelligence–based approaches.</w:t>
      </w:r>
    </w:p>
    <w:p>
      <w:pPr>
        <w:pStyle w:val="FirstParagraph"/>
      </w:pPr>
      <w:r>
        <w:t xml:space="preserve">with:</w:t>
      </w:r>
    </w:p>
    <w:p>
      <w:pPr>
        <w:pStyle w:val="BlockText"/>
      </w:pPr>
      <w:r>
        <w:t xml:space="preserve">Building on the AI-assisted parameterization pipeline described here (Section 2.4),</w:t>
      </w:r>
      <w:r>
        <w:t xml:space="preserve"> </w:t>
      </w:r>
      <w:r>
        <w:t xml:space="preserve">future work will pursue a systematic sensitivity analysis to identify the most</w:t>
      </w:r>
      <w:r>
        <w:t xml:space="preserve"> </w:t>
      </w:r>
      <w:r>
        <w:t xml:space="preserve">informative parameters, extend calibration from the current one-lever-per-target</w:t>
      </w:r>
      <w:r>
        <w:t xml:space="preserve"> </w:t>
      </w:r>
      <w:r>
        <w:t xml:space="preserve">scheme to joint multi-target optimization for strongly coupled configurations, and</w:t>
      </w:r>
      <w:r>
        <w:t xml:space="preserve"> </w:t>
      </w:r>
      <w:r>
        <w:t xml:space="preserve">undertake prospective validation of patient-specific model fits against clinical data.</w:t>
      </w:r>
    </w:p>
    <w:p>
      <w:pPr>
        <w:pStyle w:val="FirstParagraph"/>
      </w:pPr>
      <w:r>
        <w:t xml:space="preserve">(The remaining sentence on ventilation strategies, pulmonary vasodilators and</w:t>
      </w:r>
      <w:r>
        <w:t xml:space="preserve"> </w:t>
      </w:r>
      <w:r>
        <w:t xml:space="preserve">transitional failure stays as written.)</w:t>
      </w:r>
    </w:p>
    <w:p>
      <w:r>
        <w:pict>
          <v:rect style="width:0;height:1.5pt" o:hralign="center" o:hrstd="t" o:hr="t"/>
        </w:pict>
      </w:r>
    </w:p>
    <w:bookmarkEnd w:id="14"/>
    <w:bookmarkStart w:id="15" w:name="Xa8e6bc4307b3f16459a36d65965b09b2ac01c27"/>
    <w:p>
      <w:pPr>
        <w:pStyle w:val="Heading2"/>
      </w:pPr>
      <w:r>
        <w:t xml:space="preserve">Block G — New references (EndNote-ready; renumber after existing [23])</w:t>
      </w:r>
    </w:p>
    <w:p>
      <w:pPr>
        <w:pStyle w:val="FirstParagraph"/>
      </w:pPr>
      <w:r>
        <w:t xml:space="preserve">Cite Block A/F for the LLM agent and the calibration method:</w:t>
      </w:r>
    </w:p>
    <w:p>
      <w:pPr>
        <w:pStyle w:val="BlockText"/>
      </w:pPr>
      <w:r>
        <w:rPr>
          <w:b/>
          <w:bCs/>
        </w:rPr>
        <w:t xml:space="preserve">24.</w:t>
      </w:r>
      <w:r>
        <w:t xml:space="preserve"> </w:t>
      </w:r>
      <w:r>
        <w:t xml:space="preserve">Anthropic. Claude (Opus) [large language model]. Anthropic PBC; 2025. Available from: https://claude.com/product/overview.</w:t>
      </w:r>
    </w:p>
    <w:p>
      <w:pPr>
        <w:pStyle w:val="BlockText"/>
      </w:pPr>
      <w:r>
        <w:rPr>
          <w:b/>
          <w:bCs/>
        </w:rPr>
        <w:t xml:space="preserve">25.</w:t>
      </w:r>
      <w:r>
        <w:t xml:space="preserve"> </w:t>
      </w:r>
      <w:r>
        <w:t xml:space="preserve">Anthropic. Claude Agent SDK [software]. 2025. Available from: https://platform.claude.com/docs/en/api/agent-sdk.</w:t>
      </w:r>
    </w:p>
    <w:p>
      <w:pPr>
        <w:pStyle w:val="BlockText"/>
      </w:pPr>
      <w:r>
        <w:rPr>
          <w:b/>
          <w:bCs/>
        </w:rPr>
        <w:t xml:space="preserve">26.</w:t>
      </w:r>
      <w:r>
        <w:t xml:space="preserve"> </w:t>
      </w:r>
      <w:r>
        <w:t xml:space="preserve">Burden RL, Faires JD. Numerical Analysis. 9th ed. Boston: Brooks/Cole, Cengage Learning; 2011. [secant method]</w:t>
      </w:r>
    </w:p>
    <w:p>
      <w:pPr>
        <w:pStyle w:val="FirstParagraph"/>
      </w:pPr>
      <w:r>
        <w:t xml:space="preserve">Notes for the authors:</w:t>
      </w:r>
      <w:r>
        <w:t xml:space="preserve"> </w:t>
      </w:r>
      <w:r>
        <w:t xml:space="preserve">- If van Meurs [10] already presents the numerical-methods background you prefer to</w:t>
      </w:r>
      <w:r>
        <w:t xml:space="preserve"> </w:t>
      </w:r>
      <w:r>
        <w:t xml:space="preserve">cite for root-finding, ref 26 can be dropped and Eqs. 13–14 cited to [10] instead.</w:t>
      </w:r>
      <w:r>
        <w:t xml:space="preserve"> </w:t>
      </w:r>
      <w:r>
        <w:t xml:space="preserve">- Confirm the exact Claude model name/version and access date you wish to state before</w:t>
      </w:r>
      <w:r>
        <w:t xml:space="preserve"> </w:t>
      </w:r>
      <w:r>
        <w:t xml:space="preserve">finalizing refs 24–25 (these are software citations; adjust to the journal’s format</w:t>
      </w:r>
      <w:r>
        <w:t xml:space="preserve"> </w:t>
      </w:r>
      <w:r>
        <w:t xml:space="preserve">for citing software and AI tools, which Pediatric Research/Springer Nature now</w:t>
      </w:r>
      <w:r>
        <w:t xml:space="preserve"> </w:t>
      </w:r>
      <w:r>
        <w:t xml:space="preserve">requires to be disclosed in Methods).</w:t>
      </w:r>
      <w:r>
        <w:t xml:space="preserve"> </w:t>
      </w:r>
      <w:r>
        <w:t xml:space="preserve">- Springer Nature policy: the use of an AI tool in the</w:t>
      </w:r>
      <w:r>
        <w:t xml:space="preserve"> </w:t>
      </w:r>
      <w:r>
        <w:rPr>
          <w:i/>
          <w:iCs/>
        </w:rPr>
        <w:t xml:space="preserve">research method</w:t>
      </w:r>
      <w:r>
        <w:t xml:space="preserve"> </w:t>
      </w:r>
      <w:r>
        <w:t xml:space="preserve">(as opposed to</w:t>
      </w:r>
      <w:r>
        <w:t xml:space="preserve"> </w:t>
      </w:r>
      <w:r>
        <w:t xml:space="preserve">text generation) should be described in Methods — Block A satisfies this; no</w:t>
      </w:r>
      <w:r>
        <w:t xml:space="preserve"> </w:t>
      </w:r>
      <w:r>
        <w:t xml:space="preserve">authorship is attributed to the AI.</w:t>
      </w:r>
    </w:p>
    <w:p>
      <w:r>
        <w:pict>
          <v:rect style="width:0;height:1.5pt" o:hralign="center" o:hrstd="t" o:hr="t"/>
        </w:pict>
      </w:r>
    </w:p>
    <w:bookmarkEnd w:id="15"/>
    <w:bookmarkStart w:id="16" w:name="equation-numbering-note"/>
    <w:p>
      <w:pPr>
        <w:pStyle w:val="Heading2"/>
      </w:pPr>
      <w:r>
        <w:t xml:space="preserve">Equation-numbering note</w:t>
      </w:r>
    </w:p>
    <w:p>
      <w:pPr>
        <w:pStyle w:val="FirstParagraph"/>
      </w:pPr>
      <w:r>
        <w:t xml:space="preserve">Blocks A introduces</w:t>
      </w:r>
      <w:r>
        <w:t xml:space="preserve"> </w:t>
      </w:r>
      <w:r>
        <w:rPr>
          <w:b/>
          <w:bCs/>
        </w:rPr>
        <w:t xml:space="preserve">Eq. 13–15</w:t>
      </w:r>
      <w:r>
        <w:t xml:space="preserve">. The existing manuscript ends at</w:t>
      </w:r>
      <w:r>
        <w:t xml:space="preserve"> </w:t>
      </w:r>
      <w:r>
        <w:rPr>
          <w:b/>
          <w:bCs/>
        </w:rPr>
        <w:t xml:space="preserve">Eq. 12</w:t>
      </w:r>
      <w:r>
        <w:t xml:space="preserve"> </w:t>
      </w:r>
      <w:r>
        <w:t xml:space="preserve">(the PDA</w:t>
      </w:r>
      <w:r>
        <w:t xml:space="preserve"> </w:t>
      </w:r>
      <w:r>
        <w:t xml:space="preserve">Doppler velocity transform), so 13–15 are free. If the companion respiratory/acid–base</w:t>
      </w:r>
      <w:r>
        <w:t xml:space="preserve"> </w:t>
      </w:r>
      <w:r>
        <w:t xml:space="preserve">levers are cross-referenced with their own equation numbers, keep those in the companion</w:t>
      </w:r>
      <w:r>
        <w:t xml:space="preserve"> </w:t>
      </w:r>
      <w:r>
        <w:t xml:space="preserve">papers and refer to them by name here.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