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 xml:space="preserve">PROPOSTA DIDATTICA — CORSO PRIVACY PER MANAGER E AMMINISTRATORI DI SISTEMA</w:t>
      </w:r>
    </w:p>
    <w:p>
      <w:pPr>
        <w:jc w:val="center"/>
      </w:pPr>
      <w:r>
        <w:rPr>
          <w:b/>
          <w:sz w:val="24"/>
        </w:rPr>
        <w:t xml:space="preserve">EVALIS ACADEMY</w:t>
      </w:r>
    </w:p>
    <w:p>
      <w:pPr>
        <w:jc w:val="center"/>
      </w:pPr>
      <w:r>
        <w:rPr>
          <w:b/>
          <w:sz w:val="18"/>
        </w:rPr>
        <w:t xml:space="preserve">EMESSO A OTTOBRE 2026 — BOZZA PER APPROVAZIONE</w:t>
      </w:r>
    </w:p>
    <w:p>
      <w:pPr>
        <w:pBdr>
          <w:bottom w:val="single" w:sz="6" w:space="1" w:color="444444"/>
        </w:pBdr>
      </w:pPr>
    </w:p>
    <w:p>
      <w:r>
        <w:t xml:space="preserve">Il presente documento raccoglie la struttura didattica del corso FAD-PRIV-03 per chi decide, organizza o amministra trattamenti di dati personali: responsabili di funzione, dirigenti, referenti privacy interni e amministratori di sistema. Il corso nasce dal materiale didattico già redatto (otto moduli) e ne conserva ordine, regole ed esempi; integra la formazione base FAD-PRIV-01. Ogni slide è narrata dal relatore avatar, con lo stesso standard di voce, impaginazione e verifica dei corsi già in catalogo. Esercizi ed esercitazioni del materiale diventano esercizi guidati spiegati dal relatore e alimentano le verifiche bloccanti.</w:t>
      </w:r>
    </w:p>
    <w:p>
      <w:pPr>
        <w:pBdr>
          <w:bottom w:val="single" w:sz="6" w:space="1" w:color="444444"/>
        </w:pBdr>
      </w:pPr>
    </w:p>
    <w:p>
      <w:r>
        <w:rPr>
          <w:b/>
        </w:rPr>
        <w:t xml:space="preserve">Il corso in sintesi</w:t>
      </w:r>
    </w:p>
    <w:tbl>
      <w:tblPr>
        <w:tblStyle w:val="TableGrid"/>
        <w:tblW w:type="auto" w:w="0"/>
        <w:jc w:val="center"/>
        <w:tblLook w:firstColumn="1" w:firstRow="1" w:lastColumn="0" w:lastRow="0" w:noHBand="0" w:noVBand="1" w:val="04A0"/>
      </w:tblPr>
      <w:tblGrid>
        <w:gridCol w:w="2379"/>
        <w:gridCol w:w="2379"/>
        <w:gridCol w:w="2379"/>
        <w:gridCol w:w="2379"/>
      </w:tblGrid>
      <w:tr>
        <w:tc>
          <w:tcPr>
            <w:tcW w:type="dxa" w:w="2379"/>
          </w:tcPr>
          <w:p>
            <w:pPr>
              <w:spacing w:after="40"/>
            </w:pPr>
            <w:r/>
            <w:r>
              <w:rPr>
                <w:b/>
                <w:sz w:val="18"/>
              </w:rPr>
              <w:t>Corso</w:t>
            </w:r>
          </w:p>
        </w:tc>
        <w:tc>
          <w:tcPr>
            <w:tcW w:type="dxa" w:w="2379"/>
          </w:tcPr>
          <w:p>
            <w:pPr>
              <w:spacing w:after="40"/>
            </w:pPr>
            <w:r/>
            <w:r>
              <w:rPr>
                <w:b/>
                <w:sz w:val="18"/>
              </w:rPr>
              <w:t>Durata</w:t>
            </w:r>
          </w:p>
        </w:tc>
        <w:tc>
          <w:tcPr>
            <w:tcW w:type="dxa" w:w="2379"/>
          </w:tcPr>
          <w:p>
            <w:pPr>
              <w:spacing w:after="40"/>
            </w:pPr>
            <w:r/>
            <w:r>
              <w:rPr>
                <w:b/>
                <w:sz w:val="18"/>
              </w:rPr>
              <w:t>Moduli</w:t>
            </w:r>
          </w:p>
        </w:tc>
        <w:tc>
          <w:tcPr>
            <w:tcW w:type="dxa" w:w="2379"/>
          </w:tcPr>
          <w:p>
            <w:pPr>
              <w:spacing w:after="40"/>
            </w:pPr>
            <w:r/>
            <w:r>
              <w:rPr>
                <w:b/>
                <w:sz w:val="18"/>
              </w:rPr>
              <w:t>Slide</w:t>
            </w:r>
          </w:p>
        </w:tc>
      </w:tr>
      <w:tr>
        <w:tc>
          <w:tcPr>
            <w:tcW w:type="dxa" w:w="2379"/>
          </w:tcPr>
          <w:p>
            <w:pPr>
              <w:spacing w:after="40"/>
            </w:pPr>
            <w:r>
              <w:t xml:space="preserve">Privacy per manager e amministratori di sistema</w:t>
            </w:r>
          </w:p>
        </w:tc>
        <w:tc>
          <w:tcPr>
            <w:tcW w:type="dxa" w:w="2379"/>
          </w:tcPr>
          <w:p>
            <w:pPr>
              <w:spacing w:after="40"/>
            </w:pPr>
            <w:r>
              <w:t xml:space="preserve">8 ore</w:t>
            </w:r>
          </w:p>
        </w:tc>
        <w:tc>
          <w:tcPr>
            <w:tcW w:type="dxa" w:w="2379"/>
          </w:tcPr>
          <w:p>
            <w:pPr>
              <w:spacing w:after="40"/>
            </w:pPr>
            <w:r>
              <w:t xml:space="preserve">8</w:t>
            </w:r>
          </w:p>
        </w:tc>
        <w:tc>
          <w:tcPr>
            <w:tcW w:type="dxa" w:w="2379"/>
          </w:tcPr>
          <w:p>
            <w:pPr>
              <w:spacing w:after="40"/>
            </w:pPr>
            <w:r>
              <w:t xml:space="preserve">108</w:t>
            </w:r>
          </w:p>
        </w:tc>
      </w:tr>
    </w:tbl>
    <w:p>
      <w:r>
        <w:rPr>
          <w:i/>
          <w:sz w:val="18"/>
        </w:rPr>
        <w:t xml:space="preserve">Totale: 8 ore di formazione (487 minuti di contenuti narrati per 480 minuti legali) · 108 slide.</w:t>
      </w:r>
    </w:p>
    <w:p>
      <w:r>
        <w:t xml:space="preserve">Ogni modulo è una lezione della piattaforma e si chiude con un checkpoint di verifica (quiz con domande estratte da banca dati, non conteggiato nel monte ore), costruito sulle verifiche del materiale didattico. Il corso si chiude con l'esame finale: 20 domande estratte dalla banca, soglia del 75% (15 su 20), e con l'attestato di formazione EVALIS Academy.</w:t>
      </w:r>
    </w:p>
    <w:p>
      <w:pPr>
        <w:pBdr>
          <w:bottom w:val="single" w:sz="6" w:space="1" w:color="444444"/>
        </w:pBdr>
      </w:pPr>
    </w:p>
    <w:p>
      <w:r>
        <w:rPr>
          <w:b/>
        </w:rPr>
        <w:t xml:space="preserve">Che cosa porta a casa chi frequenta il corso</w:t>
      </w:r>
    </w:p>
    <w:p>
      <w:pPr>
        <w:pStyle w:val="ListBullet"/>
        <w:spacing w:after="20"/>
      </w:pPr>
      <w:r>
        <w:rPr>
          <w:sz w:val="18"/>
        </w:rPr>
        <w:t xml:space="preserve">Governare il sistema privacy della propria area: accountability, registro, DPIA, informative, designazioni</w:t>
      </w:r>
    </w:p>
    <w:p>
      <w:pPr>
        <w:pStyle w:val="ListBullet"/>
        <w:spacing w:after="20"/>
      </w:pPr>
      <w:r>
        <w:rPr>
          <w:sz w:val="18"/>
        </w:rPr>
        <w:t xml:space="preserve">Autorizzare per ruolo, istruire e vigilare; scegliere e contrattualizzare i fornitori; gestire i trasferimenti extra-UE</w:t>
      </w:r>
    </w:p>
    <w:p>
      <w:pPr>
        <w:pStyle w:val="ListBullet"/>
        <w:spacing w:after="20"/>
      </w:pPr>
      <w:r>
        <w:rPr>
          <w:sz w:val="18"/>
        </w:rPr>
        <w:t xml:space="preserve">Impostare controlli sui lavoratori leciti: art. 4 dello Statuto, videosorveglianza, metadati, whistleblowing</w:t>
      </w:r>
    </w:p>
    <w:p>
      <w:pPr>
        <w:pStyle w:val="ListBullet"/>
        <w:spacing w:after="20"/>
      </w:pPr>
      <w:r>
        <w:rPr>
          <w:sz w:val="18"/>
        </w:rPr>
        <w:t xml:space="preserve">Applicare il Provvedimento del Garante sugli amministratori di sistema: designazione, log, verifica annuale</w:t>
      </w:r>
    </w:p>
    <w:p>
      <w:pPr>
        <w:pStyle w:val="ListBullet"/>
        <w:spacing w:after="20"/>
      </w:pPr>
      <w:r>
        <w:rPr>
          <w:sz w:val="18"/>
        </w:rPr>
        <w:t xml:space="preserve">Scegliere e verificare le misure dell'art. 32, in raccordo con NIS2 e ISO/IEC 27001</w:t>
      </w:r>
    </w:p>
    <w:p>
      <w:pPr>
        <w:pStyle w:val="ListBullet"/>
        <w:spacing w:after="20"/>
      </w:pPr>
      <w:r>
        <w:rPr>
          <w:sz w:val="18"/>
        </w:rPr>
        <w:t xml:space="preserve">Gestire un data breach: contenimento, valutazione del rischio, notifica e comunicazione</w:t>
      </w:r>
    </w:p>
    <w:p>
      <w:pPr>
        <w:pStyle w:val="ListBullet"/>
        <w:spacing w:after="20"/>
      </w:pPr>
      <w:r>
        <w:rPr>
          <w:sz w:val="18"/>
        </w:rPr>
        <w:t xml:space="preserve">Introdurre IA e servizi cloud nel rispetto di GDPR e Regolamento IA</w:t>
      </w:r>
    </w:p>
    <w:p>
      <w:pPr>
        <w:pStyle w:val="ListBullet"/>
        <w:spacing w:after="20"/>
      </w:pPr>
      <w:r>
        <w:rPr>
          <w:sz w:val="18"/>
        </w:rPr>
        <w:t xml:space="preserve">Affrontare ispezioni, conoscere sanzioni e responsabilità, condurre l'audit interno annuale</w:t>
      </w:r>
    </w:p>
    <w:p>
      <w:pPr>
        <w:pBdr>
          <w:bottom w:val="single" w:sz="6" w:space="1" w:color="444444"/>
        </w:pBdr>
      </w:pPr>
    </w:p>
    <w:p>
      <w:r>
        <w:rPr>
          <w:b/>
          <w:sz w:val="24"/>
        </w:rPr>
        <w:t xml:space="preserve">PRIVACY PER MANAGER E AMMINISTRATORI DI SISTEMA</w:t>
      </w:r>
    </w:p>
    <w:p>
      <w:r>
        <w:rPr>
          <w:b/>
          <w:sz w:val="20"/>
        </w:rPr>
        <w:t xml:space="preserve">Durata: 8 ore</w:t>
      </w:r>
    </w:p>
    <w:p>
      <w:pPr>
        <w:pBdr>
          <w:bottom w:val="single" w:sz="6" w:space="1" w:color="444444"/>
        </w:pBdr>
      </w:pPr>
    </w:p>
    <w:tbl>
      <w:tblPr>
        <w:tblStyle w:val="TableGrid"/>
        <w:tblW w:type="auto" w:w="0"/>
        <w:tblLook w:firstColumn="1" w:firstRow="1" w:lastColumn="0" w:lastRow="0" w:noHBand="0" w:noVBand="1" w:val="04A0"/>
      </w:tblPr>
      <w:tblGrid>
        <w:gridCol w:w="1904"/>
        <w:gridCol w:w="1904"/>
        <w:gridCol w:w="1904"/>
        <w:gridCol w:w="1904"/>
        <w:gridCol w:w="1904"/>
      </w:tblGrid>
      <w:tr>
        <w:tc>
          <w:tcPr>
            <w:tcW w:type="dxa" w:w="624"/>
          </w:tcPr>
          <w:p>
            <w:pPr>
              <w:spacing w:after="40"/>
            </w:pPr>
            <w:r/>
            <w:r>
              <w:rPr>
                <w:b/>
                <w:sz w:val="18"/>
              </w:rPr>
              <w:t>Mod.</w:t>
            </w:r>
          </w:p>
        </w:tc>
        <w:tc>
          <w:tcPr>
            <w:tcW w:type="dxa" w:w="2948"/>
          </w:tcPr>
          <w:p>
            <w:pPr>
              <w:spacing w:after="40"/>
            </w:pPr>
            <w:r/>
            <w:r>
              <w:rPr>
                <w:b/>
                <w:sz w:val="18"/>
              </w:rPr>
              <w:t>Titolo</w:t>
            </w:r>
          </w:p>
        </w:tc>
        <w:tc>
          <w:tcPr>
            <w:tcW w:type="dxa" w:w="3175"/>
          </w:tcPr>
          <w:p>
            <w:pPr>
              <w:spacing w:after="40"/>
            </w:pPr>
            <w:r/>
            <w:r>
              <w:rPr>
                <w:b/>
                <w:sz w:val="18"/>
              </w:rPr>
              <w:t>Copertura della norma</w:t>
            </w:r>
          </w:p>
        </w:tc>
        <w:tc>
          <w:tcPr>
            <w:tcW w:type="dxa" w:w="907"/>
          </w:tcPr>
          <w:p>
            <w:pPr>
              <w:spacing w:after="40"/>
            </w:pPr>
            <w:r/>
            <w:r>
              <w:rPr>
                <w:b/>
                <w:sz w:val="18"/>
              </w:rPr>
              <w:t>Durata</w:t>
            </w:r>
          </w:p>
        </w:tc>
        <w:tc>
          <w:tcPr>
            <w:tcW w:type="dxa" w:w="680"/>
          </w:tcPr>
          <w:p>
            <w:pPr>
              <w:spacing w:after="40"/>
            </w:pPr>
            <w:r/>
            <w:r>
              <w:rPr>
                <w:b/>
                <w:sz w:val="18"/>
              </w:rPr>
              <w:t>Slide</w:t>
            </w:r>
          </w:p>
        </w:tc>
      </w:tr>
      <w:tr>
        <w:tc>
          <w:tcPr>
            <w:tcW w:type="dxa" w:w="624"/>
          </w:tcPr>
          <w:p>
            <w:pPr>
              <w:spacing w:after="40"/>
            </w:pPr>
            <w:r>
              <w:t xml:space="preserve">M1</w:t>
            </w:r>
          </w:p>
        </w:tc>
        <w:tc>
          <w:tcPr>
            <w:tcW w:type="dxa" w:w="2948"/>
          </w:tcPr>
          <w:p>
            <w:pPr>
              <w:spacing w:after="40"/>
            </w:pPr>
            <w:r>
              <w:t xml:space="preserve">Il sistema privacy aziendale</w:t>
            </w:r>
          </w:p>
        </w:tc>
        <w:tc>
          <w:tcPr>
            <w:tcW w:type="dxa" w:w="3175"/>
          </w:tcPr>
          <w:p>
            <w:pPr>
              <w:spacing w:after="40"/>
            </w:pPr>
            <w:r>
              <w:t xml:space="preserve">GDPR artt. 5, 24, 30, 35, 37-39; art. 2-quaterdecies</w:t>
            </w:r>
          </w:p>
        </w:tc>
        <w:tc>
          <w:tcPr>
            <w:tcW w:type="dxa" w:w="907"/>
          </w:tcPr>
          <w:p>
            <w:pPr>
              <w:spacing w:after="40"/>
            </w:pPr>
            <w:r>
              <w:t xml:space="preserve">76 min</w:t>
            </w:r>
          </w:p>
        </w:tc>
        <w:tc>
          <w:tcPr>
            <w:tcW w:type="dxa" w:w="680"/>
          </w:tcPr>
          <w:p>
            <w:pPr>
              <w:spacing w:after="40"/>
            </w:pPr>
            <w:r>
              <w:t xml:space="preserve">17</w:t>
            </w:r>
          </w:p>
        </w:tc>
      </w:tr>
      <w:tr>
        <w:tc>
          <w:tcPr>
            <w:tcW w:type="dxa" w:w="624"/>
          </w:tcPr>
          <w:p>
            <w:pPr>
              <w:spacing w:after="40"/>
            </w:pPr>
            <w:r>
              <w:t xml:space="preserve">M2</w:t>
            </w:r>
          </w:p>
        </w:tc>
        <w:tc>
          <w:tcPr>
            <w:tcW w:type="dxa" w:w="2948"/>
          </w:tcPr>
          <w:p>
            <w:pPr>
              <w:spacing w:after="40"/>
            </w:pPr>
            <w:r>
              <w:t xml:space="preserve">Il manager responsabile di funzione</w:t>
            </w:r>
          </w:p>
        </w:tc>
        <w:tc>
          <w:tcPr>
            <w:tcW w:type="dxa" w:w="3175"/>
          </w:tcPr>
          <w:p>
            <w:pPr>
              <w:spacing w:after="40"/>
            </w:pPr>
            <w:r>
              <w:t xml:space="preserve">GDPR artt. 28, 29, 44-49, 15-22</w:t>
            </w:r>
          </w:p>
        </w:tc>
        <w:tc>
          <w:tcPr>
            <w:tcW w:type="dxa" w:w="907"/>
          </w:tcPr>
          <w:p>
            <w:pPr>
              <w:spacing w:after="40"/>
            </w:pPr>
            <w:r>
              <w:t xml:space="preserve">63 min</w:t>
            </w:r>
          </w:p>
        </w:tc>
        <w:tc>
          <w:tcPr>
            <w:tcW w:type="dxa" w:w="680"/>
          </w:tcPr>
          <w:p>
            <w:pPr>
              <w:spacing w:after="40"/>
            </w:pPr>
            <w:r>
              <w:t xml:space="preserve">14</w:t>
            </w:r>
          </w:p>
        </w:tc>
      </w:tr>
      <w:tr>
        <w:tc>
          <w:tcPr>
            <w:tcW w:type="dxa" w:w="624"/>
          </w:tcPr>
          <w:p>
            <w:pPr>
              <w:spacing w:after="40"/>
            </w:pPr>
            <w:r>
              <w:t xml:space="preserve">M3</w:t>
            </w:r>
          </w:p>
        </w:tc>
        <w:tc>
          <w:tcPr>
            <w:tcW w:type="dxa" w:w="2948"/>
          </w:tcPr>
          <w:p>
            <w:pPr>
              <w:spacing w:after="40"/>
            </w:pPr>
            <w:r>
              <w:t xml:space="preserve">Controlli sui lavoratori</w:t>
            </w:r>
          </w:p>
        </w:tc>
        <w:tc>
          <w:tcPr>
            <w:tcW w:type="dxa" w:w="3175"/>
          </w:tcPr>
          <w:p>
            <w:pPr>
              <w:spacing w:after="40"/>
            </w:pPr>
            <w:r>
              <w:t xml:space="preserve">L. 300/1970 art. 4; Garante; D.Lgs. 24/2023</w:t>
            </w:r>
          </w:p>
        </w:tc>
        <w:tc>
          <w:tcPr>
            <w:tcW w:type="dxa" w:w="907"/>
          </w:tcPr>
          <w:p>
            <w:pPr>
              <w:spacing w:after="40"/>
            </w:pPr>
            <w:r>
              <w:t xml:space="preserve">59 min</w:t>
            </w:r>
          </w:p>
        </w:tc>
        <w:tc>
          <w:tcPr>
            <w:tcW w:type="dxa" w:w="680"/>
          </w:tcPr>
          <w:p>
            <w:pPr>
              <w:spacing w:after="40"/>
            </w:pPr>
            <w:r>
              <w:t xml:space="preserve">13</w:t>
            </w:r>
          </w:p>
        </w:tc>
      </w:tr>
      <w:tr>
        <w:tc>
          <w:tcPr>
            <w:tcW w:type="dxa" w:w="624"/>
          </w:tcPr>
          <w:p>
            <w:pPr>
              <w:spacing w:after="40"/>
            </w:pPr>
            <w:r>
              <w:t xml:space="preserve">M4</w:t>
            </w:r>
          </w:p>
        </w:tc>
        <w:tc>
          <w:tcPr>
            <w:tcW w:type="dxa" w:w="2948"/>
          </w:tcPr>
          <w:p>
            <w:pPr>
              <w:spacing w:after="40"/>
            </w:pPr>
            <w:r>
              <w:t xml:space="preserve">Amministratori di sistema</w:t>
            </w:r>
          </w:p>
        </w:tc>
        <w:tc>
          <w:tcPr>
            <w:tcW w:type="dxa" w:w="3175"/>
          </w:tcPr>
          <w:p>
            <w:pPr>
              <w:spacing w:after="40"/>
            </w:pPr>
            <w:r>
              <w:t xml:space="preserve">Provvedimento Garante 27/11/2008</w:t>
            </w:r>
          </w:p>
        </w:tc>
        <w:tc>
          <w:tcPr>
            <w:tcW w:type="dxa" w:w="907"/>
          </w:tcPr>
          <w:p>
            <w:pPr>
              <w:spacing w:after="40"/>
            </w:pPr>
            <w:r>
              <w:t xml:space="preserve">68 min</w:t>
            </w:r>
          </w:p>
        </w:tc>
        <w:tc>
          <w:tcPr>
            <w:tcW w:type="dxa" w:w="680"/>
          </w:tcPr>
          <w:p>
            <w:pPr>
              <w:spacing w:after="40"/>
            </w:pPr>
            <w:r>
              <w:t xml:space="preserve">15</w:t>
            </w:r>
          </w:p>
        </w:tc>
      </w:tr>
      <w:tr>
        <w:tc>
          <w:tcPr>
            <w:tcW w:type="dxa" w:w="624"/>
          </w:tcPr>
          <w:p>
            <w:pPr>
              <w:spacing w:after="40"/>
            </w:pPr>
            <w:r>
              <w:t xml:space="preserve">M5</w:t>
            </w:r>
          </w:p>
        </w:tc>
        <w:tc>
          <w:tcPr>
            <w:tcW w:type="dxa" w:w="2948"/>
          </w:tcPr>
          <w:p>
            <w:pPr>
              <w:spacing w:after="40"/>
            </w:pPr>
            <w:r>
              <w:t xml:space="preserve">Misure tecniche e organizzative dell'articolo 32</w:t>
            </w:r>
          </w:p>
        </w:tc>
        <w:tc>
          <w:tcPr>
            <w:tcW w:type="dxa" w:w="3175"/>
          </w:tcPr>
          <w:p>
            <w:pPr>
              <w:spacing w:after="40"/>
            </w:pPr>
            <w:r>
              <w:t xml:space="preserve">GDPR art. 32; NIS2; ISO/IEC 27001</w:t>
            </w:r>
          </w:p>
        </w:tc>
        <w:tc>
          <w:tcPr>
            <w:tcW w:type="dxa" w:w="907"/>
          </w:tcPr>
          <w:p>
            <w:pPr>
              <w:spacing w:after="40"/>
            </w:pPr>
            <w:r>
              <w:t xml:space="preserve">68 min</w:t>
            </w:r>
          </w:p>
        </w:tc>
        <w:tc>
          <w:tcPr>
            <w:tcW w:type="dxa" w:w="680"/>
          </w:tcPr>
          <w:p>
            <w:pPr>
              <w:spacing w:after="40"/>
            </w:pPr>
            <w:r>
              <w:t xml:space="preserve">15</w:t>
            </w:r>
          </w:p>
        </w:tc>
      </w:tr>
      <w:tr>
        <w:tc>
          <w:tcPr>
            <w:tcW w:type="dxa" w:w="624"/>
          </w:tcPr>
          <w:p>
            <w:pPr>
              <w:spacing w:after="40"/>
            </w:pPr>
            <w:r>
              <w:t xml:space="preserve">M6</w:t>
            </w:r>
          </w:p>
        </w:tc>
        <w:tc>
          <w:tcPr>
            <w:tcW w:type="dxa" w:w="2948"/>
          </w:tcPr>
          <w:p>
            <w:pPr>
              <w:spacing w:after="40"/>
            </w:pPr>
            <w:r>
              <w:t xml:space="preserve">Gestione del data breach</w:t>
            </w:r>
          </w:p>
        </w:tc>
        <w:tc>
          <w:tcPr>
            <w:tcW w:type="dxa" w:w="3175"/>
          </w:tcPr>
          <w:p>
            <w:pPr>
              <w:spacing w:after="40"/>
            </w:pPr>
            <w:r>
              <w:t xml:space="preserve">GDPR artt. 33, 34; EDPB 9/2022</w:t>
            </w:r>
          </w:p>
        </w:tc>
        <w:tc>
          <w:tcPr>
            <w:tcW w:type="dxa" w:w="907"/>
          </w:tcPr>
          <w:p>
            <w:pPr>
              <w:spacing w:after="40"/>
            </w:pPr>
            <w:r>
              <w:t xml:space="preserve">59 min</w:t>
            </w:r>
          </w:p>
        </w:tc>
        <w:tc>
          <w:tcPr>
            <w:tcW w:type="dxa" w:w="680"/>
          </w:tcPr>
          <w:p>
            <w:pPr>
              <w:spacing w:after="40"/>
            </w:pPr>
            <w:r>
              <w:t xml:space="preserve">13</w:t>
            </w:r>
          </w:p>
        </w:tc>
      </w:tr>
      <w:tr>
        <w:tc>
          <w:tcPr>
            <w:tcW w:type="dxa" w:w="624"/>
          </w:tcPr>
          <w:p>
            <w:pPr>
              <w:spacing w:after="40"/>
            </w:pPr>
            <w:r>
              <w:t xml:space="preserve">M7</w:t>
            </w:r>
          </w:p>
        </w:tc>
        <w:tc>
          <w:tcPr>
            <w:tcW w:type="dxa" w:w="2948"/>
          </w:tcPr>
          <w:p>
            <w:pPr>
              <w:spacing w:after="40"/>
            </w:pPr>
            <w:r>
              <w:t xml:space="preserve">IA, cloud e nuovi trattamenti</w:t>
            </w:r>
          </w:p>
        </w:tc>
        <w:tc>
          <w:tcPr>
            <w:tcW w:type="dxa" w:w="3175"/>
          </w:tcPr>
          <w:p>
            <w:pPr>
              <w:spacing w:after="40"/>
            </w:pPr>
            <w:r>
              <w:t xml:space="preserve">Reg. UE 2024/1689; GDPR art. 28 e 44</w:t>
            </w:r>
          </w:p>
        </w:tc>
        <w:tc>
          <w:tcPr>
            <w:tcW w:type="dxa" w:w="907"/>
          </w:tcPr>
          <w:p>
            <w:pPr>
              <w:spacing w:after="40"/>
            </w:pPr>
            <w:r>
              <w:t xml:space="preserve">50 min</w:t>
            </w:r>
          </w:p>
        </w:tc>
        <w:tc>
          <w:tcPr>
            <w:tcW w:type="dxa" w:w="680"/>
          </w:tcPr>
          <w:p>
            <w:pPr>
              <w:spacing w:after="40"/>
            </w:pPr>
            <w:r>
              <w:t xml:space="preserve">11</w:t>
            </w:r>
          </w:p>
        </w:tc>
      </w:tr>
      <w:tr>
        <w:tc>
          <w:tcPr>
            <w:tcW w:type="dxa" w:w="624"/>
          </w:tcPr>
          <w:p>
            <w:pPr>
              <w:spacing w:after="40"/>
            </w:pPr>
            <w:r>
              <w:t xml:space="preserve">M8</w:t>
            </w:r>
          </w:p>
        </w:tc>
        <w:tc>
          <w:tcPr>
            <w:tcW w:type="dxa" w:w="2948"/>
          </w:tcPr>
          <w:p>
            <w:pPr>
              <w:spacing w:after="40"/>
            </w:pPr>
            <w:r>
              <w:t xml:space="preserve">Ispezioni, sanzioni, responsabilità e audit interno</w:t>
            </w:r>
          </w:p>
        </w:tc>
        <w:tc>
          <w:tcPr>
            <w:tcW w:type="dxa" w:w="3175"/>
          </w:tcPr>
          <w:p>
            <w:pPr>
              <w:spacing w:after="40"/>
            </w:pPr>
            <w:r>
              <w:t xml:space="preserve">GDPR artt. 58, 83; Codice artt. 166-171</w:t>
            </w:r>
          </w:p>
        </w:tc>
        <w:tc>
          <w:tcPr>
            <w:tcW w:type="dxa" w:w="907"/>
          </w:tcPr>
          <w:p>
            <w:pPr>
              <w:spacing w:after="40"/>
            </w:pPr>
            <w:r>
              <w:t xml:space="preserve">44 min</w:t>
            </w:r>
          </w:p>
        </w:tc>
        <w:tc>
          <w:tcPr>
            <w:tcW w:type="dxa" w:w="680"/>
          </w:tcPr>
          <w:p>
            <w:pPr>
              <w:spacing w:after="40"/>
            </w:pPr>
            <w:r>
              <w:t xml:space="preserve">10</w:t>
            </w:r>
          </w:p>
        </w:tc>
      </w:tr>
    </w:tbl>
    <w:p>
      <w:pPr>
        <w:pBdr>
          <w:bottom w:val="single" w:sz="6" w:space="1" w:color="444444"/>
        </w:pBdr>
      </w:pPr>
    </w:p>
    <w:p>
      <w:r>
        <w:rPr>
          <w:b/>
        </w:rPr>
        <w:t xml:space="preserve">Argomenti per modulo (slide per slide)</w:t>
      </w:r>
    </w:p>
    <w:p>
      <w:pPr>
        <w:spacing w:before="160"/>
      </w:pPr>
      <w:r>
        <w:rPr>
          <w:b/>
          <w:sz w:val="20"/>
        </w:rPr>
        <w:t xml:space="preserve">M1 — Il sistema privacy aziendale   (76 minuti · 17 slide)</w:t>
      </w:r>
    </w:p>
    <w:p>
      <w:pPr>
        <w:pStyle w:val="ListBullet"/>
        <w:spacing w:after="20"/>
      </w:pPr>
      <w:r>
        <w:rPr>
          <w:sz w:val="18"/>
        </w:rPr>
        <w:t xml:space="preserve">Benvenuto: a chi è rivolto il corso, come integra la formazione base, come funziona — 1 slide</w:t>
      </w:r>
    </w:p>
    <w:p>
      <w:pPr>
        <w:pStyle w:val="ListBullet"/>
        <w:spacing w:after="20"/>
      </w:pPr>
      <w:r>
        <w:rPr>
          <w:sz w:val="18"/>
        </w:rPr>
        <w:t xml:space="preserve">Programma degli otto moduli e destinatari principali — 1 slide</w:t>
      </w:r>
    </w:p>
    <w:p>
      <w:pPr>
        <w:pStyle w:val="ListBullet"/>
        <w:spacing w:after="20"/>
      </w:pPr>
      <w:r>
        <w:rPr>
          <w:sz w:val="18"/>
        </w:rPr>
        <w:t xml:space="preserve">I riferimenti normativi del corso: GDPR, Codice privacy, Statuto, provvedimenti, NIS2, Regolamento IA — 1 slide</w:t>
      </w:r>
    </w:p>
    <w:p>
      <w:pPr>
        <w:pStyle w:val="ListBullet"/>
        <w:spacing w:after="20"/>
      </w:pPr>
      <w:r>
        <w:rPr>
          <w:sz w:val="18"/>
        </w:rPr>
        <w:t xml:space="preserve">Accountability: dimostrare, non dichiarare; misure adeguate al rischio — 1 slide</w:t>
      </w:r>
    </w:p>
    <w:p>
      <w:pPr>
        <w:pStyle w:val="ListBullet"/>
        <w:spacing w:after="20"/>
      </w:pPr>
      <w:r>
        <w:rPr>
          <w:sz w:val="18"/>
        </w:rPr>
        <w:t xml:space="preserve">Documenti di governo e prove operative; l'esempio dell'ispezione sulle buste paga — 1 slide</w:t>
      </w:r>
    </w:p>
    <w:p>
      <w:pPr>
        <w:pStyle w:val="ListBullet"/>
        <w:spacing w:after="20"/>
      </w:pPr>
      <w:r>
        <w:rPr>
          <w:sz w:val="18"/>
        </w:rPr>
        <w:t xml:space="preserve">Il registro dei trattamenti: chi è obbligato e perché è la mappa di tutto — 1 slide</w:t>
      </w:r>
    </w:p>
    <w:p>
      <w:pPr>
        <w:pStyle w:val="ListBullet"/>
        <w:spacing w:after="20"/>
      </w:pPr>
      <w:r>
        <w:rPr>
          <w:sz w:val="18"/>
        </w:rPr>
        <w:t xml:space="preserve">I campi del registro, chi fornisce l'informazione, gli errori tipici; il dovere del manager — 1 slide</w:t>
      </w:r>
    </w:p>
    <w:p>
      <w:pPr>
        <w:pStyle w:val="ListBullet"/>
        <w:spacing w:after="20"/>
      </w:pPr>
      <w:r>
        <w:rPr>
          <w:sz w:val="18"/>
        </w:rPr>
        <w:t xml:space="preserve">Esercizio guidato: la riga del registro per presenze e assenze — 1 slide</w:t>
      </w:r>
    </w:p>
    <w:p>
      <w:pPr>
        <w:pStyle w:val="ListBullet"/>
        <w:spacing w:after="20"/>
      </w:pPr>
      <w:r>
        <w:rPr>
          <w:sz w:val="18"/>
        </w:rPr>
        <w:t xml:space="preserve">La DPIA: quando è obbligatoria, l'elenco del Garante — 1 slide</w:t>
      </w:r>
    </w:p>
    <w:p>
      <w:pPr>
        <w:pStyle w:val="ListBullet"/>
        <w:spacing w:after="20"/>
      </w:pPr>
      <w:r>
        <w:rPr>
          <w:sz w:val="18"/>
        </w:rPr>
        <w:t xml:space="preserve">I casi aziendali ricorrenti di DPIA — 1 slide</w:t>
      </w:r>
    </w:p>
    <w:p>
      <w:pPr>
        <w:pStyle w:val="ListBullet"/>
        <w:spacing w:after="20"/>
      </w:pPr>
      <w:r>
        <w:rPr>
          <w:sz w:val="18"/>
        </w:rPr>
        <w:t xml:space="preserve">Contenuto minimo della DPIA e chi la avvia, prima dell'acquisto — 1 slide</w:t>
      </w:r>
    </w:p>
    <w:p>
      <w:pPr>
        <w:pStyle w:val="ListBullet"/>
        <w:spacing w:after="20"/>
      </w:pPr>
      <w:r>
        <w:rPr>
          <w:sz w:val="18"/>
        </w:rPr>
        <w:t xml:space="preserve">Informative e consensi: dipendenti, candidati, clienti, fornitori — 1 slide</w:t>
      </w:r>
    </w:p>
    <w:p>
      <w:pPr>
        <w:pStyle w:val="ListBullet"/>
        <w:spacing w:after="20"/>
      </w:pPr>
      <w:r>
        <w:rPr>
          <w:sz w:val="18"/>
        </w:rPr>
        <w:t xml:space="preserve">Visitatori, videosorveglianza, sito web e cookie; la campagna marketing del customer service — 1 slide</w:t>
      </w:r>
    </w:p>
    <w:p>
      <w:pPr>
        <w:pStyle w:val="ListBullet"/>
        <w:spacing w:after="20"/>
      </w:pPr>
      <w:r>
        <w:rPr>
          <w:sz w:val="18"/>
        </w:rPr>
        <w:t xml:space="preserve">L'organigramma privacy: titolare, referente, designati, amministratori di sistema, responsabili esterni — 1 slide</w:t>
      </w:r>
    </w:p>
    <w:p>
      <w:pPr>
        <w:pStyle w:val="ListBullet"/>
        <w:spacing w:after="20"/>
      </w:pPr>
      <w:r>
        <w:rPr>
          <w:sz w:val="18"/>
        </w:rPr>
        <w:t xml:space="preserve">La designazione dell'articolo 2-quaterdecies: cosa delega, perché senza atto scritto non si autorizza — 1 slide</w:t>
      </w:r>
    </w:p>
    <w:p>
      <w:pPr>
        <w:pStyle w:val="ListBullet"/>
        <w:spacing w:after="20"/>
      </w:pPr>
      <w:r>
        <w:rPr>
          <w:sz w:val="18"/>
        </w:rPr>
        <w:t xml:space="preserve">Il DPO: quando è obbligatorio, nomina volontaria — 1 slide</w:t>
      </w:r>
    </w:p>
    <w:p>
      <w:pPr>
        <w:pStyle w:val="ListBullet"/>
        <w:spacing w:after="20"/>
      </w:pPr>
      <w:r>
        <w:rPr>
          <w:sz w:val="18"/>
        </w:rPr>
        <w:t xml:space="preserve">Sintesi del modulo e verso il checkpoint — 1 slide</w:t>
      </w:r>
    </w:p>
    <w:p>
      <w:pPr>
        <w:spacing w:before="160"/>
      </w:pPr>
      <w:r>
        <w:rPr>
          <w:b/>
          <w:sz w:val="20"/>
        </w:rPr>
        <w:t xml:space="preserve">M2 — Il manager responsabile di funzione   (63 minuti · 14 slide)</w:t>
      </w:r>
    </w:p>
    <w:p>
      <w:pPr>
        <w:pStyle w:val="ListBullet"/>
        <w:spacing w:after="20"/>
      </w:pPr>
      <w:r>
        <w:rPr>
          <w:sz w:val="18"/>
        </w:rPr>
        <w:t xml:space="preserve">Autorizzazioni per ruolo e principio del minimo privilegio — 1 slide</w:t>
      </w:r>
    </w:p>
    <w:p>
      <w:pPr>
        <w:pStyle w:val="ListBullet"/>
        <w:spacing w:after="20"/>
      </w:pPr>
      <w:r>
        <w:rPr>
          <w:sz w:val="18"/>
        </w:rPr>
        <w:t xml:space="preserve">Ingresso, cambio mansione, cessazione, verifica periodica; il collaboratore con le buste paga — 1 slide</w:t>
      </w:r>
    </w:p>
    <w:p>
      <w:pPr>
        <w:pStyle w:val="ListBullet"/>
        <w:spacing w:after="20"/>
      </w:pPr>
      <w:r>
        <w:rPr>
          <w:sz w:val="18"/>
        </w:rPr>
        <w:t xml:space="preserve">Istruzioni scritte per area e formazione documentata — 1 slide</w:t>
      </w:r>
    </w:p>
    <w:p>
      <w:pPr>
        <w:pStyle w:val="ListBullet"/>
        <w:spacing w:after="20"/>
      </w:pPr>
      <w:r>
        <w:rPr>
          <w:sz w:val="18"/>
        </w:rPr>
        <w:t xml:space="preserve">Vigilanza del manager e conseguenze disciplinari, articolo 7 dello Statuto — 1 slide</w:t>
      </w:r>
    </w:p>
    <w:p>
      <w:pPr>
        <w:pStyle w:val="ListBullet"/>
        <w:spacing w:after="20"/>
      </w:pPr>
      <w:r>
        <w:rPr>
          <w:sz w:val="18"/>
        </w:rPr>
        <w:t xml:space="preserve">Fornitori: chi è responsabile del trattamento — 1 slide</w:t>
      </w:r>
    </w:p>
    <w:p>
      <w:pPr>
        <w:pStyle w:val="ListBullet"/>
        <w:spacing w:after="20"/>
      </w:pPr>
      <w:r>
        <w:rPr>
          <w:sz w:val="18"/>
        </w:rPr>
        <w:t xml:space="preserve">I contenuti obbligatori del contratto dell'articolo 28 — 1 slide</w:t>
      </w:r>
    </w:p>
    <w:p>
      <w:pPr>
        <w:pStyle w:val="ListBullet"/>
        <w:spacing w:after="20"/>
      </w:pPr>
      <w:r>
        <w:rPr>
          <w:sz w:val="18"/>
        </w:rPr>
        <w:t xml:space="preserve">Prima di firmare: due diligence e segnali di allarme — 1 slide</w:t>
      </w:r>
    </w:p>
    <w:p>
      <w:pPr>
        <w:pStyle w:val="ListBullet"/>
        <w:spacing w:after="20"/>
      </w:pPr>
      <w:r>
        <w:rPr>
          <w:sz w:val="18"/>
        </w:rPr>
        <w:t xml:space="preserve">Esercizio guidato: titolare autonomo o responsabile — 1 slide</w:t>
      </w:r>
    </w:p>
    <w:p>
      <w:pPr>
        <w:pStyle w:val="ListBullet"/>
        <w:spacing w:after="20"/>
      </w:pPr>
      <w:r>
        <w:rPr>
          <w:sz w:val="18"/>
        </w:rPr>
        <w:t xml:space="preserve">Trasferimenti fuori dall'UE: quando c'è trasferimento — 1 slide</w:t>
      </w:r>
    </w:p>
    <w:p>
      <w:pPr>
        <w:pStyle w:val="ListBullet"/>
        <w:spacing w:after="20"/>
      </w:pPr>
      <w:r>
        <w:rPr>
          <w:sz w:val="18"/>
        </w:rPr>
        <w:t xml:space="preserve">Gli strumenti: adeguatezza e Data Privacy Framework, clausole standard e TIA — 1 slide</w:t>
      </w:r>
    </w:p>
    <w:p>
      <w:pPr>
        <w:pStyle w:val="ListBullet"/>
        <w:spacing w:after="20"/>
      </w:pPr>
      <w:r>
        <w:rPr>
          <w:sz w:val="18"/>
        </w:rPr>
        <w:t xml:space="preserve">Norme vincolanti d'impresa, deroghe e la regola per il manager — 1 slide</w:t>
      </w:r>
    </w:p>
    <w:p>
      <w:pPr>
        <w:pStyle w:val="ListBullet"/>
        <w:spacing w:after="20"/>
      </w:pPr>
      <w:r>
        <w:rPr>
          <w:sz w:val="18"/>
        </w:rPr>
        <w:t xml:space="preserve">Le richieste degli interessati nella propria area: il flusso in cinque passi — 1 slide</w:t>
      </w:r>
    </w:p>
    <w:p>
      <w:pPr>
        <w:pStyle w:val="ListBullet"/>
        <w:spacing w:after="20"/>
      </w:pPr>
      <w:r>
        <w:rPr>
          <w:sz w:val="18"/>
        </w:rPr>
        <w:t xml:space="preserve">L'accesso di un dipendente: cosa spetta e cosa no — 1 slide</w:t>
      </w:r>
    </w:p>
    <w:p>
      <w:pPr>
        <w:pStyle w:val="ListBullet"/>
        <w:spacing w:after="20"/>
      </w:pPr>
      <w:r>
        <w:rPr>
          <w:sz w:val="18"/>
        </w:rPr>
        <w:t xml:space="preserve">Sintesi del modulo e verso il checkpoint — 1 slide</w:t>
      </w:r>
    </w:p>
    <w:p>
      <w:pPr>
        <w:spacing w:before="160"/>
      </w:pPr>
      <w:r>
        <w:rPr>
          <w:b/>
          <w:sz w:val="20"/>
        </w:rPr>
        <w:t xml:space="preserve">M3 — Controlli sui lavoratori   (59 minuti · 13 slide)</w:t>
      </w:r>
    </w:p>
    <w:p>
      <w:pPr>
        <w:pStyle w:val="ListBullet"/>
        <w:spacing w:after="20"/>
      </w:pPr>
      <w:r>
        <w:rPr>
          <w:sz w:val="18"/>
        </w:rPr>
        <w:t xml:space="preserve">L'articolo 4 dello Statuto dopo il Jobs Act: impianti di controllo e accordo sindacale — 1 slide</w:t>
      </w:r>
    </w:p>
    <w:p>
      <w:pPr>
        <w:pStyle w:val="ListBullet"/>
        <w:spacing w:after="20"/>
      </w:pPr>
      <w:r>
        <w:rPr>
          <w:sz w:val="18"/>
        </w:rPr>
        <w:t xml:space="preserve">Strumenti di lavoro e utilizzabilità delle informazioni — 1 slide</w:t>
      </w:r>
    </w:p>
    <w:p>
      <w:pPr>
        <w:pStyle w:val="ListBullet"/>
        <w:spacing w:after="20"/>
      </w:pPr>
      <w:r>
        <w:rPr>
          <w:sz w:val="18"/>
        </w:rPr>
        <w:t xml:space="preserve">La checklist del manager prima di ogni controllo — 1 slide</w:t>
      </w:r>
    </w:p>
    <w:p>
      <w:pPr>
        <w:pStyle w:val="ListBullet"/>
        <w:spacing w:after="20"/>
      </w:pPr>
      <w:r>
        <w:rPr>
          <w:sz w:val="18"/>
        </w:rPr>
        <w:t xml:space="preserve">Videosorveglianza: finalità, inquadrature, conservazione, informativa — 1 slide</w:t>
      </w:r>
    </w:p>
    <w:p>
      <w:pPr>
        <w:pStyle w:val="ListBullet"/>
        <w:spacing w:after="20"/>
      </w:pPr>
      <w:r>
        <w:rPr>
          <w:sz w:val="18"/>
        </w:rPr>
        <w:t xml:space="preserve">Videosorveglianza: accessi, accordo, analisi intelligente; la sanzione tipica — 1 slide</w:t>
      </w:r>
    </w:p>
    <w:p>
      <w:pPr>
        <w:pStyle w:val="ListBullet"/>
        <w:spacing w:after="20"/>
      </w:pPr>
      <w:r>
        <w:rPr>
          <w:sz w:val="18"/>
        </w:rPr>
        <w:t xml:space="preserve">La casella email aziendale e il regolamento d'uso — 1 slide</w:t>
      </w:r>
    </w:p>
    <w:p>
      <w:pPr>
        <w:pStyle w:val="ListBullet"/>
        <w:spacing w:after="20"/>
      </w:pPr>
      <w:r>
        <w:rPr>
          <w:sz w:val="18"/>
        </w:rPr>
        <w:t xml:space="preserve">I metadati della posta: il documento del Garante del 2024 e i ventuno giorni — 1 slide</w:t>
      </w:r>
    </w:p>
    <w:p>
      <w:pPr>
        <w:pStyle w:val="ListBullet"/>
        <w:spacing w:after="20"/>
      </w:pPr>
      <w:r>
        <w:rPr>
          <w:sz w:val="18"/>
        </w:rPr>
        <w:t xml:space="preserve">Navigazione web, geolocalizzazione e controlli difensivi — 1 slide</w:t>
      </w:r>
    </w:p>
    <w:p>
      <w:pPr>
        <w:pStyle w:val="ListBullet"/>
        <w:spacing w:after="20"/>
      </w:pPr>
      <w:r>
        <w:rPr>
          <w:sz w:val="18"/>
        </w:rPr>
        <w:t xml:space="preserve">Esercizio guidato: lecito o illecito, prima parte — 1 slide</w:t>
      </w:r>
    </w:p>
    <w:p>
      <w:pPr>
        <w:pStyle w:val="ListBullet"/>
        <w:spacing w:after="20"/>
      </w:pPr>
      <w:r>
        <w:rPr>
          <w:sz w:val="18"/>
        </w:rPr>
        <w:t xml:space="preserve">Esercizio guidato: lecito o illecito, seconda parte — 1 slide</w:t>
      </w:r>
    </w:p>
    <w:p>
      <w:pPr>
        <w:pStyle w:val="ListBullet"/>
        <w:spacing w:after="20"/>
      </w:pPr>
      <w:r>
        <w:rPr>
          <w:sz w:val="18"/>
        </w:rPr>
        <w:t xml:space="preserve">Whistleblowing: chi deve avere il canale e la riservatezza del segnalante — 1 slide</w:t>
      </w:r>
    </w:p>
    <w:p>
      <w:pPr>
        <w:pStyle w:val="ListBullet"/>
        <w:spacing w:after="20"/>
      </w:pPr>
      <w:r>
        <w:rPr>
          <w:sz w:val="18"/>
        </w:rPr>
        <w:t xml:space="preserve">Whistleblowing: divieto di tracciare, DPIA, conservazione, ritorsioni; il caso dei log del server — 1 slide</w:t>
      </w:r>
    </w:p>
    <w:p>
      <w:pPr>
        <w:pStyle w:val="ListBullet"/>
        <w:spacing w:after="20"/>
      </w:pPr>
      <w:r>
        <w:rPr>
          <w:sz w:val="18"/>
        </w:rPr>
        <w:t xml:space="preserve">Sintesi del modulo e verso il checkpoint — 1 slide</w:t>
      </w:r>
    </w:p>
    <w:p>
      <w:pPr>
        <w:spacing w:before="160"/>
      </w:pPr>
      <w:r>
        <w:rPr>
          <w:b/>
          <w:sz w:val="20"/>
        </w:rPr>
        <w:t xml:space="preserve">M4 — Amministratori di sistema   (68 minuti · 15 slide)</w:t>
      </w:r>
    </w:p>
    <w:p>
      <w:pPr>
        <w:pStyle w:val="ListBullet"/>
        <w:spacing w:after="20"/>
      </w:pPr>
      <w:r>
        <w:rPr>
          <w:sz w:val="18"/>
        </w:rPr>
        <w:t xml:space="preserve">Chi è amministratore di sistema: conta il privilegio, non il titolo — 1 slide</w:t>
      </w:r>
    </w:p>
    <w:p>
      <w:pPr>
        <w:pStyle w:val="ListBullet"/>
        <w:spacing w:after="20"/>
      </w:pPr>
      <w:r>
        <w:rPr>
          <w:sz w:val="18"/>
        </w:rPr>
        <w:t xml:space="preserve">Interni ed esterni, e perché il Garante li tratta a parte — 1 slide</w:t>
      </w:r>
    </w:p>
    <w:p>
      <w:pPr>
        <w:pStyle w:val="ListBullet"/>
        <w:spacing w:after="20"/>
      </w:pPr>
      <w:r>
        <w:rPr>
          <w:sz w:val="18"/>
        </w:rPr>
        <w:t xml:space="preserve">Le cinque misure: valutazione delle caratteristiche soggettive — 1 slide</w:t>
      </w:r>
    </w:p>
    <w:p>
      <w:pPr>
        <w:pStyle w:val="ListBullet"/>
        <w:spacing w:after="20"/>
      </w:pPr>
      <w:r>
        <w:rPr>
          <w:sz w:val="18"/>
        </w:rPr>
        <w:t xml:space="preserve">Le cinque misure: designazione individuale ed elenco degli amministratori — 1 slide</w:t>
      </w:r>
    </w:p>
    <w:p>
      <w:pPr>
        <w:pStyle w:val="ListBullet"/>
        <w:spacing w:after="20"/>
      </w:pPr>
      <w:r>
        <w:rPr>
          <w:sz w:val="18"/>
        </w:rPr>
        <w:t xml:space="preserve">Le cinque misure: verifica annuale dell'operato — 1 slide</w:t>
      </w:r>
    </w:p>
    <w:p>
      <w:pPr>
        <w:pStyle w:val="ListBullet"/>
        <w:spacing w:after="20"/>
      </w:pPr>
      <w:r>
        <w:rPr>
          <w:sz w:val="18"/>
        </w:rPr>
        <w:t xml:space="preserve">Le cinque misure: registrazione degli accessi e obblighi verso i fornitori — 1 slide</w:t>
      </w:r>
    </w:p>
    <w:p>
      <w:pPr>
        <w:pStyle w:val="ListBullet"/>
        <w:spacing w:after="20"/>
      </w:pPr>
      <w:r>
        <w:rPr>
          <w:sz w:val="18"/>
        </w:rPr>
        <w:t xml:space="preserve">Esercizio guidato: è un amministratore di sistema — 1 slide</w:t>
      </w:r>
    </w:p>
    <w:p>
      <w:pPr>
        <w:pStyle w:val="ListBullet"/>
        <w:spacing w:after="20"/>
      </w:pPr>
      <w:r>
        <w:rPr>
          <w:sz w:val="18"/>
        </w:rPr>
        <w:t xml:space="preserve">Access log: cosa registrare e completezza dei sistemi — 1 slide</w:t>
      </w:r>
    </w:p>
    <w:p>
      <w:pPr>
        <w:pStyle w:val="ListBullet"/>
        <w:spacing w:after="20"/>
      </w:pPr>
      <w:r>
        <w:rPr>
          <w:sz w:val="18"/>
        </w:rPr>
        <w:t xml:space="preserve">Access log: inalterabilità e repository centrale — 1 slide</w:t>
      </w:r>
    </w:p>
    <w:p>
      <w:pPr>
        <w:pStyle w:val="ListBullet"/>
        <w:spacing w:after="20"/>
      </w:pPr>
      <w:r>
        <w:rPr>
          <w:sz w:val="18"/>
        </w:rPr>
        <w:t xml:space="preserve">Access log: verificabilità, conservazione, l'errore del log sul server dell'amministratore — 1 slide</w:t>
      </w:r>
    </w:p>
    <w:p>
      <w:pPr>
        <w:pStyle w:val="ListBullet"/>
        <w:spacing w:after="20"/>
      </w:pPr>
      <w:r>
        <w:rPr>
          <w:sz w:val="18"/>
        </w:rPr>
        <w:t xml:space="preserve">Account privilegiati: nominativi, doppio account, MFA — 1 slide</w:t>
      </w:r>
    </w:p>
    <w:p>
      <w:pPr>
        <w:pStyle w:val="ListBullet"/>
        <w:spacing w:after="20"/>
      </w:pPr>
      <w:r>
        <w:rPr>
          <w:sz w:val="18"/>
        </w:rPr>
        <w:t xml:space="preserve">Minimo privilegio, separazione dei compiti, fornitori e uscita dell'amministratore — 1 slide</w:t>
      </w:r>
    </w:p>
    <w:p>
      <w:pPr>
        <w:pStyle w:val="ListBullet"/>
        <w:spacing w:after="20"/>
      </w:pPr>
      <w:r>
        <w:rPr>
          <w:sz w:val="18"/>
        </w:rPr>
        <w:t xml:space="preserve">La verifica annuale: i cinque passi — 1 slide</w:t>
      </w:r>
    </w:p>
    <w:p>
      <w:pPr>
        <w:pStyle w:val="ListBullet"/>
        <w:spacing w:after="20"/>
      </w:pPr>
      <w:r>
        <w:rPr>
          <w:sz w:val="18"/>
        </w:rPr>
        <w:t xml:space="preserve">Chi la svolge, il verbale e cosa chiede il Garante in ispezione — 1 slide</w:t>
      </w:r>
    </w:p>
    <w:p>
      <w:pPr>
        <w:pStyle w:val="ListBullet"/>
        <w:spacing w:after="20"/>
      </w:pPr>
      <w:r>
        <w:rPr>
          <w:sz w:val="18"/>
        </w:rPr>
        <w:t xml:space="preserve">Sintesi del modulo e verso il checkpoint — 1 slide</w:t>
      </w:r>
    </w:p>
    <w:p>
      <w:pPr>
        <w:spacing w:before="160"/>
      </w:pPr>
      <w:r>
        <w:rPr>
          <w:b/>
          <w:sz w:val="20"/>
        </w:rPr>
        <w:t xml:space="preserve">M5 — Misure tecniche e organizzative dell'articolo 32   (68 minuti · 15 slide)</w:t>
      </w:r>
    </w:p>
    <w:p>
      <w:pPr>
        <w:pStyle w:val="ListBullet"/>
        <w:spacing w:after="20"/>
      </w:pPr>
      <w:r>
        <w:rPr>
          <w:sz w:val="18"/>
        </w:rPr>
        <w:t xml:space="preserve">Sicurezza adeguata al rischio: gli esiti da garantire — 1 slide</w:t>
      </w:r>
    </w:p>
    <w:p>
      <w:pPr>
        <w:pStyle w:val="ListBullet"/>
        <w:spacing w:after="20"/>
      </w:pPr>
      <w:r>
        <w:rPr>
          <w:sz w:val="18"/>
        </w:rPr>
        <w:t xml:space="preserve">L'analisi dei rischi in cinque passi e i riferimenti utili — 1 slide</w:t>
      </w:r>
    </w:p>
    <w:p>
      <w:pPr>
        <w:pStyle w:val="ListBullet"/>
        <w:spacing w:after="20"/>
      </w:pPr>
      <w:r>
        <w:rPr>
          <w:sz w:val="18"/>
        </w:rPr>
        <w:t xml:space="preserve">Identità e accessi: autenticazione e MFA — 1 slide</w:t>
      </w:r>
    </w:p>
    <w:p>
      <w:pPr>
        <w:pStyle w:val="ListBullet"/>
        <w:spacing w:after="20"/>
      </w:pPr>
      <w:r>
        <w:rPr>
          <w:sz w:val="18"/>
        </w:rPr>
        <w:t xml:space="preserve">Identità e accessi: provisioning per ruolo e access review — 1 slide</w:t>
      </w:r>
    </w:p>
    <w:p>
      <w:pPr>
        <w:pStyle w:val="ListBullet"/>
        <w:spacing w:after="20"/>
      </w:pPr>
      <w:r>
        <w:rPr>
          <w:sz w:val="18"/>
        </w:rPr>
        <w:t xml:space="preserve">Identità e accessi: sessioni e accessi di terzi — 1 slide</w:t>
      </w:r>
    </w:p>
    <w:p>
      <w:pPr>
        <w:pStyle w:val="ListBullet"/>
        <w:spacing w:after="20"/>
      </w:pPr>
      <w:r>
        <w:rPr>
          <w:sz w:val="18"/>
        </w:rPr>
        <w:t xml:space="preserve">Cifratura dei dispositivi, delle trasmissioni e degli archivi — 1 slide</w:t>
      </w:r>
    </w:p>
    <w:p>
      <w:pPr>
        <w:pStyle w:val="ListBullet"/>
        <w:spacing w:after="20"/>
      </w:pPr>
      <w:r>
        <w:rPr>
          <w:sz w:val="18"/>
        </w:rPr>
        <w:t xml:space="preserve">Backup: la regola tre due uno, test di ripristino, backup immutabili — 1 slide</w:t>
      </w:r>
    </w:p>
    <w:p>
      <w:pPr>
        <w:pStyle w:val="ListBullet"/>
        <w:spacing w:after="20"/>
      </w:pPr>
      <w:r>
        <w:rPr>
          <w:sz w:val="18"/>
        </w:rPr>
        <w:t xml:space="preserve">Aggiornamenti, rete ed endpoint — 1 slide</w:t>
      </w:r>
    </w:p>
    <w:p>
      <w:pPr>
        <w:pStyle w:val="ListBullet"/>
        <w:spacing w:after="20"/>
      </w:pPr>
      <w:r>
        <w:rPr>
          <w:sz w:val="18"/>
        </w:rPr>
        <w:t xml:space="preserve">Esercizio guidato: le priorità dell'azienda di ottanta dipendenti — 1 slide</w:t>
      </w:r>
    </w:p>
    <w:p>
      <w:pPr>
        <w:pStyle w:val="ListBullet"/>
        <w:spacing w:after="20"/>
      </w:pPr>
      <w:r>
        <w:rPr>
          <w:sz w:val="18"/>
        </w:rPr>
        <w:t xml:space="preserve">Logging e monitoraggio: cosa registrare, alert sugli accessi anomali — 1 slide</w:t>
      </w:r>
    </w:p>
    <w:p>
      <w:pPr>
        <w:pStyle w:val="ListBullet"/>
        <w:spacing w:after="20"/>
      </w:pPr>
      <w:r>
        <w:rPr>
          <w:sz w:val="18"/>
        </w:rPr>
        <w:t xml:space="preserve">Vulnerability assessment, penetration test, test di phishing e riesame annuale — 1 slide</w:t>
      </w:r>
    </w:p>
    <w:p>
      <w:pPr>
        <w:pStyle w:val="ListBullet"/>
        <w:spacing w:after="20"/>
      </w:pPr>
      <w:r>
        <w:rPr>
          <w:sz w:val="18"/>
        </w:rPr>
        <w:t xml:space="preserve">NIS2: soggetti, i dieci ambiti, segnalazione degli incidenti — 1 slide</w:t>
      </w:r>
    </w:p>
    <w:p>
      <w:pPr>
        <w:pStyle w:val="ListBullet"/>
        <w:spacing w:after="20"/>
      </w:pPr>
      <w:r>
        <w:rPr>
          <w:sz w:val="18"/>
        </w:rPr>
        <w:t xml:space="preserve">NIS2: responsabilità degli organi di amministrazione — 1 slide</w:t>
      </w:r>
    </w:p>
    <w:p>
      <w:pPr>
        <w:pStyle w:val="ListBullet"/>
        <w:spacing w:after="20"/>
      </w:pPr>
      <w:r>
        <w:rPr>
          <w:sz w:val="18"/>
        </w:rPr>
        <w:t xml:space="preserve">ISO/IEC 27001 e 27701 e un solo sistema documentale — 1 slide</w:t>
      </w:r>
    </w:p>
    <w:p>
      <w:pPr>
        <w:pStyle w:val="ListBullet"/>
        <w:spacing w:after="20"/>
      </w:pPr>
      <w:r>
        <w:rPr>
          <w:sz w:val="18"/>
        </w:rPr>
        <w:t xml:space="preserve">Sintesi del modulo e verso il checkpoint — 1 slide</w:t>
      </w:r>
    </w:p>
    <w:p>
      <w:pPr>
        <w:spacing w:before="160"/>
      </w:pPr>
      <w:r>
        <w:rPr>
          <w:b/>
          <w:sz w:val="20"/>
        </w:rPr>
        <w:t xml:space="preserve">M6 — Gestione del data breach   (59 minuti · 13 slide)</w:t>
      </w:r>
    </w:p>
    <w:p>
      <w:pPr>
        <w:pStyle w:val="ListBullet"/>
        <w:spacing w:after="20"/>
      </w:pPr>
      <w:r>
        <w:rPr>
          <w:sz w:val="18"/>
        </w:rPr>
        <w:t xml:space="preserve">La procedura: rilevazione, segnalazione interna, contenimento — 1 slide</w:t>
      </w:r>
    </w:p>
    <w:p>
      <w:pPr>
        <w:pStyle w:val="ListBullet"/>
        <w:spacing w:after="20"/>
      </w:pPr>
      <w:r>
        <w:rPr>
          <w:sz w:val="18"/>
        </w:rPr>
        <w:t xml:space="preserve">La procedura: valutazione, decisione del titolare, registrazione, lezioni apprese — 1 slide</w:t>
      </w:r>
    </w:p>
    <w:p>
      <w:pPr>
        <w:pStyle w:val="ListBullet"/>
        <w:spacing w:after="20"/>
      </w:pPr>
      <w:r>
        <w:rPr>
          <w:sz w:val="18"/>
        </w:rPr>
        <w:t xml:space="preserve">Valutare il rischio: notifica se non è improbabile, comunicazione se è elevato — 1 slide</w:t>
      </w:r>
    </w:p>
    <w:p>
      <w:pPr>
        <w:pStyle w:val="ListBullet"/>
        <w:spacing w:after="20"/>
      </w:pPr>
      <w:r>
        <w:rPr>
          <w:sz w:val="18"/>
        </w:rPr>
        <w:t xml:space="preserve">I fattori che alzano o abbassano il rischio — 1 slide</w:t>
      </w:r>
    </w:p>
    <w:p>
      <w:pPr>
        <w:pStyle w:val="ListBullet"/>
        <w:spacing w:after="20"/>
      </w:pPr>
      <w:r>
        <w:rPr>
          <w:sz w:val="18"/>
        </w:rPr>
        <w:t xml:space="preserve">Due casi a confronto: il portatile cifrato e quello non cifrato — 1 slide</w:t>
      </w:r>
    </w:p>
    <w:p>
      <w:pPr>
        <w:pStyle w:val="ListBullet"/>
        <w:spacing w:after="20"/>
      </w:pPr>
      <w:r>
        <w:rPr>
          <w:sz w:val="18"/>
        </w:rPr>
        <w:t xml:space="preserve">Esercizio guidato: notifica o solo registro, prima parte — 1 slide</w:t>
      </w:r>
    </w:p>
    <w:p>
      <w:pPr>
        <w:pStyle w:val="ListBullet"/>
        <w:spacing w:after="20"/>
      </w:pPr>
      <w:r>
        <w:rPr>
          <w:sz w:val="18"/>
        </w:rPr>
        <w:t xml:space="preserve">Esercizio guidato: notifica o solo registro, seconda parte — 1 slide</w:t>
      </w:r>
    </w:p>
    <w:p>
      <w:pPr>
        <w:pStyle w:val="ListBullet"/>
        <w:spacing w:after="20"/>
      </w:pPr>
      <w:r>
        <w:rPr>
          <w:sz w:val="18"/>
        </w:rPr>
        <w:t xml:space="preserve">Il contenuto della notifica al Garante e la notifica in fasi — 1 slide</w:t>
      </w:r>
    </w:p>
    <w:p>
      <w:pPr>
        <w:pStyle w:val="ListBullet"/>
        <w:spacing w:after="20"/>
      </w:pPr>
      <w:r>
        <w:rPr>
          <w:sz w:val="18"/>
        </w:rPr>
        <w:t xml:space="preserve">La comunicazione agli interessati e quando non è dovuta — 1 slide</w:t>
      </w:r>
    </w:p>
    <w:p>
      <w:pPr>
        <w:pStyle w:val="ListBullet"/>
        <w:spacing w:after="20"/>
      </w:pPr>
      <w:r>
        <w:rPr>
          <w:sz w:val="18"/>
        </w:rPr>
        <w:t xml:space="preserve">Oltre le settantadue ore e il registro delle violazioni — 1 slide</w:t>
      </w:r>
    </w:p>
    <w:p>
      <w:pPr>
        <w:pStyle w:val="ListBullet"/>
        <w:spacing w:after="20"/>
      </w:pPr>
      <w:r>
        <w:rPr>
          <w:sz w:val="18"/>
        </w:rPr>
        <w:t xml:space="preserve">Esercitazione: il venerdì sera — 1 slide</w:t>
      </w:r>
    </w:p>
    <w:p>
      <w:pPr>
        <w:pStyle w:val="ListBullet"/>
        <w:spacing w:after="20"/>
      </w:pPr>
      <w:r>
        <w:rPr>
          <w:sz w:val="18"/>
        </w:rPr>
        <w:t xml:space="preserve">Esercitazione: la chiavetta — 1 slide</w:t>
      </w:r>
    </w:p>
    <w:p>
      <w:pPr>
        <w:pStyle w:val="ListBullet"/>
        <w:spacing w:after="20"/>
      </w:pPr>
      <w:r>
        <w:rPr>
          <w:sz w:val="18"/>
        </w:rPr>
        <w:t xml:space="preserve">Sintesi del modulo e verso il checkpoint — 1 slide</w:t>
      </w:r>
    </w:p>
    <w:p>
      <w:pPr>
        <w:spacing w:before="160"/>
      </w:pPr>
      <w:r>
        <w:rPr>
          <w:b/>
          <w:sz w:val="20"/>
        </w:rPr>
        <w:t xml:space="preserve">M7 — IA, cloud e nuovi trattamenti   (50 minuti · 11 slide)</w:t>
      </w:r>
    </w:p>
    <w:p>
      <w:pPr>
        <w:pStyle w:val="ListBullet"/>
        <w:spacing w:after="20"/>
      </w:pPr>
      <w:r>
        <w:rPr>
          <w:sz w:val="18"/>
        </w:rPr>
        <w:t xml:space="preserve">Regolamento IA e GDPR insieme: chi è deployer, le pratiche vietate — 1 slide</w:t>
      </w:r>
    </w:p>
    <w:p>
      <w:pPr>
        <w:pStyle w:val="ListBullet"/>
        <w:spacing w:after="20"/>
      </w:pPr>
      <w:r>
        <w:rPr>
          <w:sz w:val="18"/>
        </w:rPr>
        <w:t xml:space="preserve">Alto rischio nel lavoro e obblighi del deployer — 1 slide</w:t>
      </w:r>
    </w:p>
    <w:p>
      <w:pPr>
        <w:pStyle w:val="ListBullet"/>
        <w:spacing w:after="20"/>
      </w:pPr>
      <w:r>
        <w:rPr>
          <w:sz w:val="18"/>
        </w:rPr>
        <w:t xml:space="preserve">Rischio limitato e alfabetizzazione dell'articolo 4 — 1 slide</w:t>
      </w:r>
    </w:p>
    <w:p>
      <w:pPr>
        <w:pStyle w:val="ListBullet"/>
        <w:spacing w:after="20"/>
      </w:pPr>
      <w:r>
        <w:rPr>
          <w:sz w:val="18"/>
        </w:rPr>
        <w:t xml:space="preserve">Policy per l'IA generativa: strumenti ammessi e dati che possono entrare — 1 slide</w:t>
      </w:r>
    </w:p>
    <w:p>
      <w:pPr>
        <w:pStyle w:val="ListBullet"/>
        <w:spacing w:after="20"/>
      </w:pPr>
      <w:r>
        <w:rPr>
          <w:sz w:val="18"/>
        </w:rPr>
        <w:t xml:space="preserve">Policy: chi risponde dell'output e come si traccia — 1 slide</w:t>
      </w:r>
    </w:p>
    <w:p>
      <w:pPr>
        <w:pStyle w:val="ListBullet"/>
        <w:spacing w:after="20"/>
      </w:pPr>
      <w:r>
        <w:rPr>
          <w:sz w:val="18"/>
        </w:rPr>
        <w:t xml:space="preserve">L'assistente IA per preselezionare i CV — 1 slide</w:t>
      </w:r>
    </w:p>
    <w:p>
      <w:pPr>
        <w:pStyle w:val="ListBullet"/>
        <w:spacing w:after="20"/>
      </w:pPr>
      <w:r>
        <w:rPr>
          <w:sz w:val="18"/>
        </w:rPr>
        <w:t xml:space="preserve">Cloud e SaaS: le domande da fare prima di firmare — 1 slide</w:t>
      </w:r>
    </w:p>
    <w:p>
      <w:pPr>
        <w:pStyle w:val="ListBullet"/>
        <w:spacing w:after="20"/>
      </w:pPr>
      <w:r>
        <w:rPr>
          <w:sz w:val="18"/>
        </w:rPr>
        <w:t xml:space="preserve">Uso dei dati per addestramento e shadow IT — 1 slide</w:t>
      </w:r>
    </w:p>
    <w:p>
      <w:pPr>
        <w:pStyle w:val="ListBullet"/>
        <w:spacing w:after="20"/>
      </w:pPr>
      <w:r>
        <w:rPr>
          <w:sz w:val="18"/>
        </w:rPr>
        <w:t xml:space="preserve">Esercizio guidato: la piattaforma di analisi del marketing, prima della firma — 1 slide</w:t>
      </w:r>
    </w:p>
    <w:p>
      <w:pPr>
        <w:pStyle w:val="ListBullet"/>
        <w:spacing w:after="20"/>
      </w:pPr>
      <w:r>
        <w:rPr>
          <w:sz w:val="18"/>
        </w:rPr>
        <w:t xml:space="preserve">Esercizio guidato: all'avvio e in esercizio — 1 slide</w:t>
      </w:r>
    </w:p>
    <w:p>
      <w:pPr>
        <w:pStyle w:val="ListBullet"/>
        <w:spacing w:after="20"/>
      </w:pPr>
      <w:r>
        <w:rPr>
          <w:sz w:val="18"/>
        </w:rPr>
        <w:t xml:space="preserve">Sintesi del modulo e verso il checkpoint — 1 slide</w:t>
      </w:r>
    </w:p>
    <w:p>
      <w:pPr>
        <w:spacing w:before="160"/>
      </w:pPr>
      <w:r>
        <w:rPr>
          <w:b/>
          <w:sz w:val="20"/>
        </w:rPr>
        <w:t xml:space="preserve">M8 — Ispezioni, sanzioni, responsabilità e audit interno   (44 minuti · 10 slide)</w:t>
      </w:r>
    </w:p>
    <w:p>
      <w:pPr>
        <w:pStyle w:val="ListBullet"/>
        <w:spacing w:after="20"/>
      </w:pPr>
      <w:r>
        <w:rPr>
          <w:sz w:val="18"/>
        </w:rPr>
        <w:t xml:space="preserve">I poteri del Garante e il Nucleo speciale privacy — 1 slide</w:t>
      </w:r>
    </w:p>
    <w:p>
      <w:pPr>
        <w:pStyle w:val="ListBullet"/>
        <w:spacing w:after="20"/>
      </w:pPr>
      <w:r>
        <w:rPr>
          <w:sz w:val="18"/>
        </w:rPr>
        <w:t xml:space="preserve">Cosa chiedono in ispezione e come comportarsi; le prime tre domande — 1 slide</w:t>
      </w:r>
    </w:p>
    <w:p>
      <w:pPr>
        <w:pStyle w:val="ListBullet"/>
        <w:spacing w:after="20"/>
      </w:pPr>
      <w:r>
        <w:rPr>
          <w:sz w:val="18"/>
        </w:rPr>
        <w:t xml:space="preserve">Le due fasce di sanzioni amministrative — 1 slide</w:t>
      </w:r>
    </w:p>
    <w:p>
      <w:pPr>
        <w:pStyle w:val="ListBullet"/>
        <w:spacing w:after="20"/>
      </w:pPr>
      <w:r>
        <w:rPr>
          <w:sz w:val="18"/>
        </w:rPr>
        <w:t xml:space="preserve">I criteri di quantificazione dell'articolo 83 — 1 slide</w:t>
      </w:r>
    </w:p>
    <w:p>
      <w:pPr>
        <w:pStyle w:val="ListBullet"/>
        <w:spacing w:after="20"/>
      </w:pPr>
      <w:r>
        <w:rPr>
          <w:sz w:val="18"/>
        </w:rPr>
        <w:t xml:space="preserve">Responsabilità penali e personali del manager e dell'amministratore di sistema — 1 slide</w:t>
      </w:r>
    </w:p>
    <w:p>
      <w:pPr>
        <w:pStyle w:val="ListBullet"/>
        <w:spacing w:after="20"/>
      </w:pPr>
      <w:r>
        <w:rPr>
          <w:sz w:val="18"/>
        </w:rPr>
        <w:t xml:space="preserve">L'audit interno annuale: aree, evidenze, indicatori — 1 slide</w:t>
      </w:r>
    </w:p>
    <w:p>
      <w:pPr>
        <w:pStyle w:val="ListBullet"/>
        <w:spacing w:after="20"/>
      </w:pPr>
      <w:r>
        <w:rPr>
          <w:sz w:val="18"/>
        </w:rPr>
        <w:t xml:space="preserve">Rapporto di audit e riesame della direzione — 1 slide</w:t>
      </w:r>
    </w:p>
    <w:p>
      <w:pPr>
        <w:pStyle w:val="ListBullet"/>
        <w:spacing w:after="20"/>
      </w:pPr>
      <w:r>
        <w:rPr>
          <w:sz w:val="18"/>
        </w:rPr>
        <w:t xml:space="preserve">Esercizio guidato: il piano d'azione, manager di area o amministratore — 1 slide</w:t>
      </w:r>
    </w:p>
    <w:p>
      <w:pPr>
        <w:pStyle w:val="ListBullet"/>
        <w:spacing w:after="20"/>
      </w:pPr>
      <w:r>
        <w:rPr>
          <w:sz w:val="18"/>
        </w:rPr>
        <w:t xml:space="preserve">Sintesi finale: il manager e l'amministratore di sistema — 1 slide</w:t>
      </w:r>
    </w:p>
    <w:p>
      <w:pPr>
        <w:pStyle w:val="ListBullet"/>
        <w:spacing w:after="20"/>
      </w:pPr>
      <w:r>
        <w:rPr>
          <w:sz w:val="18"/>
        </w:rPr>
        <w:t xml:space="preserve">Preparazione all'esame finale e congedo — 1 slide</w:t>
      </w:r>
    </w:p>
    <w:p>
      <w:pPr>
        <w:pBdr>
          <w:bottom w:val="single" w:sz="6" w:space="1" w:color="444444"/>
        </w:pBdr>
      </w:pPr>
    </w:p>
    <w:p>
      <w:r>
        <w:rPr>
          <w:b/>
        </w:rPr>
        <w:t xml:space="preserve">Destinatari, verifiche e prezzo</w:t>
      </w:r>
    </w:p>
    <w:p>
      <w:pPr>
        <w:pStyle w:val="ListBullet"/>
        <w:spacing w:after="20"/>
      </w:pPr>
      <w:r>
        <w:rPr>
          <w:sz w:val="18"/>
        </w:rPr>
        <w:t xml:space="preserve">Destinatari: responsabili di funzione, dirigenti, referenti privacy interni e amministratori di sistema</w:t>
      </w:r>
    </w:p>
    <w:p>
      <w:pPr>
        <w:pStyle w:val="ListBullet"/>
        <w:spacing w:after="20"/>
      </w:pPr>
      <w:r>
        <w:rPr>
          <w:sz w:val="18"/>
        </w:rPr>
        <w:t xml:space="preserve">Checkpoint: uno per modulo, bloccante, cinque domande estratte da una banca di almeno dieci, soglia 80%</w:t>
      </w:r>
    </w:p>
    <w:p>
      <w:pPr>
        <w:pStyle w:val="ListBullet"/>
        <w:spacing w:after="20"/>
      </w:pPr>
      <w:r>
        <w:rPr>
          <w:sz w:val="18"/>
        </w:rPr>
        <w:t xml:space="preserve">Esame finale: venti domande estratte dalla banca, soglia 75% (15 su 20)</w:t>
      </w:r>
    </w:p>
    <w:p>
      <w:pPr>
        <w:pStyle w:val="ListBullet"/>
        <w:spacing w:after="20"/>
      </w:pPr>
      <w:r>
        <w:rPr>
          <w:sz w:val="18"/>
        </w:rPr>
        <w:t xml:space="preserve">Attestato: attestato di formazione EVALIS Academy (nessun accreditamento CERTIS)</w:t>
      </w:r>
    </w:p>
    <w:p>
      <w:pPr>
        <w:pStyle w:val="ListBullet"/>
        <w:spacing w:after="20"/>
      </w:pPr>
      <w:r>
        <w:rPr>
          <w:sz w:val="18"/>
        </w:rPr>
        <w:t xml:space="preserve">Area di catalogo: privacy e compliance · Modalità: FAD asincrona con relatore avatar su ogni slide</w:t>
      </w:r>
    </w:p>
    <w:p>
      <w:pPr>
        <w:pStyle w:val="ListBullet"/>
        <w:spacing w:after="20"/>
      </w:pPr>
      <w:r>
        <w:rPr>
          <w:sz w:val="18"/>
        </w:rPr>
        <w:t xml:space="preserve">Prezzo: 250 €, IVA esclusa</w:t>
      </w:r>
    </w:p>
    <w:sectPr w:rsidR="00FC693F" w:rsidRPr="0006063C" w:rsidSect="00034616">
      <w:footerReference w:type="default" r:id="rId9"/>
      <w:pgSz w:w="12240" w:h="15840"/>
      <w:pgMar w:top="1247" w:right="1361" w:bottom="1134" w:left="136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666666"/>
        <w:sz w:val="16"/>
      </w:rPr>
      <w:t>Privacy per manager e amministratori di sistema — Evalis Academy</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eastAsia="Arial"/>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