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PROPOSTA DIDATTICA — CORSO PRIVACY E PROTEZIONE DEI DATI PER IL PERSONALE</w:t>
      </w:r>
    </w:p>
    <w:p>
      <w:pPr>
        <w:jc w:val="center"/>
      </w:pPr>
      <w:r>
        <w:rPr>
          <w:b/>
          <w:sz w:val="24"/>
        </w:rPr>
        <w:t xml:space="preserve">EVALIS ACADEMY</w:t>
      </w:r>
    </w:p>
    <w:p>
      <w:pPr>
        <w:jc w:val="center"/>
      </w:pPr>
      <w:r>
        <w:rPr>
          <w:b/>
          <w:sz w:val="18"/>
        </w:rPr>
        <w:t xml:space="preserve">EMESSO A OTTOBRE 2026 — BOZZA PER APPROVAZIONE</w:t>
      </w:r>
    </w:p>
    <w:p>
      <w:pPr>
        <w:pBdr>
          <w:bottom w:val="single" w:sz="6" w:space="1" w:color="444444"/>
        </w:pBdr>
      </w:pPr>
    </w:p>
    <w:p>
      <w:r>
        <w:t xml:space="preserve">Il presente documento raccoglie la struttura didattica del corso FAD-PRIV-01, la formazione obbligatoria del personale autorizzato al trattamento prevista dagli articoli 29 e 32 del Regolamento UE 2016/679 (GDPR) e dall'articolo 2-quaterdecies del D.Lgs. 196/2003. Il corso nasce dal materiale didattico già redatto (cinque moduli, il caso ricorrente di Officine Meridiana) e ne conserva ordine, regole ed esempi. Ogni slide è narrata dal relatore avatar, con lo stesso standard di voce, impaginazione e verifica dei corsi già in catalogo. Gli esercizi del materiale diventano esercizi guidati spiegati dal relatore e alimentano le verifiche bloccanti.</w:t>
      </w:r>
    </w:p>
    <w:p>
      <w:pPr>
        <w:pBdr>
          <w:bottom w:val="single" w:sz="6" w:space="1" w:color="444444"/>
        </w:pBdr>
      </w:pPr>
    </w:p>
    <w:p>
      <w:r>
        <w:rPr>
          <w:b/>
        </w:rPr>
        <w:t xml:space="preserve">Il corso in sintesi</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spacing w:after="40"/>
            </w:pPr>
            <w:r/>
            <w:r>
              <w:rPr>
                <w:b/>
                <w:sz w:val="18"/>
              </w:rPr>
              <w:t>Corso</w:t>
            </w:r>
          </w:p>
        </w:tc>
        <w:tc>
          <w:tcPr>
            <w:tcW w:type="dxa" w:w="2379"/>
          </w:tcPr>
          <w:p>
            <w:pPr>
              <w:spacing w:after="40"/>
            </w:pPr>
            <w:r/>
            <w:r>
              <w:rPr>
                <w:b/>
                <w:sz w:val="18"/>
              </w:rPr>
              <w:t>Durata</w:t>
            </w:r>
          </w:p>
        </w:tc>
        <w:tc>
          <w:tcPr>
            <w:tcW w:type="dxa" w:w="2379"/>
          </w:tcPr>
          <w:p>
            <w:pPr>
              <w:spacing w:after="40"/>
            </w:pPr>
            <w:r/>
            <w:r>
              <w:rPr>
                <w:b/>
                <w:sz w:val="18"/>
              </w:rPr>
              <w:t>Moduli</w:t>
            </w:r>
          </w:p>
        </w:tc>
        <w:tc>
          <w:tcPr>
            <w:tcW w:type="dxa" w:w="2379"/>
          </w:tcPr>
          <w:p>
            <w:pPr>
              <w:spacing w:after="40"/>
            </w:pPr>
            <w:r/>
            <w:r>
              <w:rPr>
                <w:b/>
                <w:sz w:val="18"/>
              </w:rPr>
              <w:t>Slide</w:t>
            </w:r>
          </w:p>
        </w:tc>
      </w:tr>
      <w:tr>
        <w:tc>
          <w:tcPr>
            <w:tcW w:type="dxa" w:w="2379"/>
          </w:tcPr>
          <w:p>
            <w:pPr>
              <w:spacing w:after="40"/>
            </w:pPr>
            <w:r>
              <w:t xml:space="preserve">Privacy e protezione dei dati per il personale</w:t>
            </w:r>
          </w:p>
        </w:tc>
        <w:tc>
          <w:tcPr>
            <w:tcW w:type="dxa" w:w="2379"/>
          </w:tcPr>
          <w:p>
            <w:pPr>
              <w:spacing w:after="40"/>
            </w:pPr>
            <w:r>
              <w:t xml:space="preserve">3 ore</w:t>
            </w:r>
          </w:p>
        </w:tc>
        <w:tc>
          <w:tcPr>
            <w:tcW w:type="dxa" w:w="2379"/>
          </w:tcPr>
          <w:p>
            <w:pPr>
              <w:spacing w:after="40"/>
            </w:pPr>
            <w:r>
              <w:t xml:space="preserve">5</w:t>
            </w:r>
          </w:p>
        </w:tc>
        <w:tc>
          <w:tcPr>
            <w:tcW w:type="dxa" w:w="2379"/>
          </w:tcPr>
          <w:p>
            <w:pPr>
              <w:spacing w:after="40"/>
            </w:pPr>
            <w:r>
              <w:t xml:space="preserve">41</w:t>
            </w:r>
          </w:p>
        </w:tc>
      </w:tr>
    </w:tbl>
    <w:p>
      <w:r>
        <w:rPr>
          <w:i/>
          <w:sz w:val="18"/>
        </w:rPr>
        <w:t xml:space="preserve">Totale: 3 ore di formazione (183 minuti di contenuti narrati per 180 minuti legali) · 41 slide.</w:t>
      </w:r>
    </w:p>
    <w:p>
      <w:r>
        <w:t xml:space="preserve">Ogni modulo è una lezione della piattaforma e si chiude con un checkpoint di verifica (quiz con domande estratte da banca dati, non conteggiato nel monte ore), costruito sulle verifiche del materiale didattico. Il corso si chiude con l'esame finale: 12 domande estratte dalla banca, soglia del 75% (9 su 12), e con l'attestato di formazione EVALIS Academy.</w:t>
      </w:r>
    </w:p>
    <w:p>
      <w:pPr>
        <w:pBdr>
          <w:bottom w:val="single" w:sz="6" w:space="1" w:color="444444"/>
        </w:pBdr>
      </w:pPr>
    </w:p>
    <w:p>
      <w:r>
        <w:rPr>
          <w:b/>
        </w:rPr>
        <w:t xml:space="preserve">Che cosa porta a casa chi frequenta il corso</w:t>
      </w:r>
    </w:p>
    <w:p>
      <w:pPr>
        <w:pStyle w:val="ListBullet"/>
        <w:spacing w:after="20"/>
      </w:pPr>
      <w:r>
        <w:rPr>
          <w:sz w:val="18"/>
        </w:rPr>
        <w:t xml:space="preserve">Riconoscere un dato personale e distinguere dati comuni, categorie particolari e dati giudiziari</w:t>
      </w:r>
    </w:p>
    <w:p>
      <w:pPr>
        <w:pStyle w:val="ListBullet"/>
        <w:spacing w:after="20"/>
      </w:pPr>
      <w:r>
        <w:rPr>
          <w:sz w:val="18"/>
        </w:rPr>
        <w:t xml:space="preserve">Collocare i ruoli: titolare, responsabile, autorizzato, DPO e referente privacy, interessato</w:t>
      </w:r>
    </w:p>
    <w:p>
      <w:pPr>
        <w:pStyle w:val="ListBullet"/>
        <w:spacing w:after="20"/>
      </w:pPr>
      <w:r>
        <w:rPr>
          <w:sz w:val="18"/>
        </w:rPr>
        <w:t xml:space="preserve">Applicare i principi del GDPR nel lavoro quotidiano: finalità, minimizzazione, conservazione</w:t>
      </w:r>
    </w:p>
    <w:p>
      <w:pPr>
        <w:pStyle w:val="ListBullet"/>
        <w:spacing w:after="20"/>
      </w:pPr>
      <w:r>
        <w:rPr>
          <w:sz w:val="18"/>
        </w:rPr>
        <w:t xml:space="preserve">Gestire in sicurezza password, posta elettronica, dispositivi e lavoro da remoto; riconoscere il phishing</w:t>
      </w:r>
    </w:p>
    <w:p>
      <w:pPr>
        <w:pStyle w:val="ListBullet"/>
        <w:spacing w:after="20"/>
      </w:pPr>
      <w:r>
        <w:rPr>
          <w:sz w:val="18"/>
        </w:rPr>
        <w:t xml:space="preserve">Riconoscere un data breach e segnalarlo subito, nel rispetto delle 72 ore</w:t>
      </w:r>
    </w:p>
    <w:p>
      <w:pPr>
        <w:pStyle w:val="ListBullet"/>
        <w:spacing w:after="20"/>
      </w:pPr>
      <w:r>
        <w:rPr>
          <w:sz w:val="18"/>
        </w:rPr>
        <w:t xml:space="preserve">Riconoscere una richiesta di esercizio dei diritti e inoltrarla nei tempi giusti</w:t>
      </w:r>
    </w:p>
    <w:p>
      <w:pPr>
        <w:pBdr>
          <w:bottom w:val="single" w:sz="6" w:space="1" w:color="444444"/>
        </w:pBdr>
      </w:pPr>
    </w:p>
    <w:p>
      <w:r>
        <w:rPr>
          <w:b/>
          <w:sz w:val="24"/>
        </w:rPr>
        <w:t xml:space="preserve">PRIVACY E PROTEZIONE DEI DATI PER IL PERSONALE (GDPR)</w:t>
      </w:r>
    </w:p>
    <w:p>
      <w:r>
        <w:rPr>
          <w:b/>
          <w:sz w:val="20"/>
        </w:rPr>
        <w:t xml:space="preserve">Durata: 3 ore</w:t>
      </w:r>
    </w:p>
    <w:p>
      <w:pPr>
        <w:pBdr>
          <w:bottom w:val="single" w:sz="6" w:space="1" w:color="444444"/>
        </w:pBdr>
      </w:pP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624"/>
          </w:tcPr>
          <w:p>
            <w:pPr>
              <w:spacing w:after="40"/>
            </w:pPr>
            <w:r/>
            <w:r>
              <w:rPr>
                <w:b/>
                <w:sz w:val="18"/>
              </w:rPr>
              <w:t>Mod.</w:t>
            </w:r>
          </w:p>
        </w:tc>
        <w:tc>
          <w:tcPr>
            <w:tcW w:type="dxa" w:w="2948"/>
          </w:tcPr>
          <w:p>
            <w:pPr>
              <w:spacing w:after="40"/>
            </w:pPr>
            <w:r/>
            <w:r>
              <w:rPr>
                <w:b/>
                <w:sz w:val="18"/>
              </w:rPr>
              <w:t>Titolo</w:t>
            </w:r>
          </w:p>
        </w:tc>
        <w:tc>
          <w:tcPr>
            <w:tcW w:type="dxa" w:w="3175"/>
          </w:tcPr>
          <w:p>
            <w:pPr>
              <w:spacing w:after="40"/>
            </w:pPr>
            <w:r/>
            <w:r>
              <w:rPr>
                <w:b/>
                <w:sz w:val="18"/>
              </w:rPr>
              <w:t>Copertura della norma</w:t>
            </w:r>
          </w:p>
        </w:tc>
        <w:tc>
          <w:tcPr>
            <w:tcW w:type="dxa" w:w="907"/>
          </w:tcPr>
          <w:p>
            <w:pPr>
              <w:spacing w:after="40"/>
            </w:pPr>
            <w:r/>
            <w:r>
              <w:rPr>
                <w:b/>
                <w:sz w:val="18"/>
              </w:rPr>
              <w:t>Durata</w:t>
            </w:r>
          </w:p>
        </w:tc>
        <w:tc>
          <w:tcPr>
            <w:tcW w:type="dxa" w:w="680"/>
          </w:tcPr>
          <w:p>
            <w:pPr>
              <w:spacing w:after="40"/>
            </w:pPr>
            <w:r/>
            <w:r>
              <w:rPr>
                <w:b/>
                <w:sz w:val="18"/>
              </w:rPr>
              <w:t>Slide</w:t>
            </w:r>
          </w:p>
        </w:tc>
      </w:tr>
      <w:tr>
        <w:tc>
          <w:tcPr>
            <w:tcW w:type="dxa" w:w="624"/>
          </w:tcPr>
          <w:p>
            <w:pPr>
              <w:spacing w:after="40"/>
            </w:pPr>
            <w:r>
              <w:t xml:space="preserve">M1</w:t>
            </w:r>
          </w:p>
        </w:tc>
        <w:tc>
          <w:tcPr>
            <w:tcW w:type="dxa" w:w="2948"/>
          </w:tcPr>
          <w:p>
            <w:pPr>
              <w:spacing w:after="40"/>
            </w:pPr>
            <w:r>
              <w:t xml:space="preserve">Il GDPR in azienda: principi e definizioni</w:t>
            </w:r>
          </w:p>
        </w:tc>
        <w:tc>
          <w:tcPr>
            <w:tcW w:type="dxa" w:w="3175"/>
          </w:tcPr>
          <w:p>
            <w:pPr>
              <w:spacing w:after="40"/>
            </w:pPr>
            <w:r>
              <w:t xml:space="preserve">GDPR artt. 4, 5, 6, 9, 10, 13-14, 30</w:t>
            </w:r>
          </w:p>
        </w:tc>
        <w:tc>
          <w:tcPr>
            <w:tcW w:type="dxa" w:w="907"/>
          </w:tcPr>
          <w:p>
            <w:pPr>
              <w:spacing w:after="40"/>
            </w:pPr>
            <w:r>
              <w:t xml:space="preserve">40 min</w:t>
            </w:r>
          </w:p>
        </w:tc>
        <w:tc>
          <w:tcPr>
            <w:tcW w:type="dxa" w:w="680"/>
          </w:tcPr>
          <w:p>
            <w:pPr>
              <w:spacing w:after="40"/>
            </w:pPr>
            <w:r>
              <w:t xml:space="preserve">9</w:t>
            </w:r>
          </w:p>
        </w:tc>
      </w:tr>
      <w:tr>
        <w:tc>
          <w:tcPr>
            <w:tcW w:type="dxa" w:w="624"/>
          </w:tcPr>
          <w:p>
            <w:pPr>
              <w:spacing w:after="40"/>
            </w:pPr>
            <w:r>
              <w:t xml:space="preserve">M2</w:t>
            </w:r>
          </w:p>
        </w:tc>
        <w:tc>
          <w:tcPr>
            <w:tcW w:type="dxa" w:w="2948"/>
          </w:tcPr>
          <w:p>
            <w:pPr>
              <w:spacing w:after="40"/>
            </w:pPr>
            <w:r>
              <w:t xml:space="preserve">Ruoli, istruzioni e diritti degli interessati</w:t>
            </w:r>
          </w:p>
        </w:tc>
        <w:tc>
          <w:tcPr>
            <w:tcW w:type="dxa" w:w="3175"/>
          </w:tcPr>
          <w:p>
            <w:pPr>
              <w:spacing w:after="40"/>
            </w:pPr>
            <w:r>
              <w:t xml:space="preserve">GDPR artt. 15-22, 28, 29; art. 2-quaterdecies Codice</w:t>
            </w:r>
          </w:p>
        </w:tc>
        <w:tc>
          <w:tcPr>
            <w:tcW w:type="dxa" w:w="907"/>
          </w:tcPr>
          <w:p>
            <w:pPr>
              <w:spacing w:after="40"/>
            </w:pPr>
            <w:r>
              <w:t xml:space="preserve">35 min</w:t>
            </w:r>
          </w:p>
        </w:tc>
        <w:tc>
          <w:tcPr>
            <w:tcW w:type="dxa" w:w="680"/>
          </w:tcPr>
          <w:p>
            <w:pPr>
              <w:spacing w:after="40"/>
            </w:pPr>
            <w:r>
              <w:t xml:space="preserve">8</w:t>
            </w:r>
          </w:p>
        </w:tc>
      </w:tr>
      <w:tr>
        <w:tc>
          <w:tcPr>
            <w:tcW w:type="dxa" w:w="624"/>
          </w:tcPr>
          <w:p>
            <w:pPr>
              <w:spacing w:after="40"/>
            </w:pPr>
            <w:r>
              <w:t xml:space="preserve">M3</w:t>
            </w:r>
          </w:p>
        </w:tc>
        <w:tc>
          <w:tcPr>
            <w:tcW w:type="dxa" w:w="2948"/>
          </w:tcPr>
          <w:p>
            <w:pPr>
              <w:spacing w:after="40"/>
            </w:pPr>
            <w:r>
              <w:t xml:space="preserve">Sicurezza quotidiana: password, phishing, dispositivi, lavoro da remoto</w:t>
            </w:r>
          </w:p>
        </w:tc>
        <w:tc>
          <w:tcPr>
            <w:tcW w:type="dxa" w:w="3175"/>
          </w:tcPr>
          <w:p>
            <w:pPr>
              <w:spacing w:after="40"/>
            </w:pPr>
            <w:r>
              <w:t xml:space="preserve">GDPR art. 32 (misure comportamentali)</w:t>
            </w:r>
          </w:p>
        </w:tc>
        <w:tc>
          <w:tcPr>
            <w:tcW w:type="dxa" w:w="907"/>
          </w:tcPr>
          <w:p>
            <w:pPr>
              <w:spacing w:after="40"/>
            </w:pPr>
            <w:r>
              <w:t xml:space="preserve">45 min</w:t>
            </w:r>
          </w:p>
        </w:tc>
        <w:tc>
          <w:tcPr>
            <w:tcW w:type="dxa" w:w="680"/>
          </w:tcPr>
          <w:p>
            <w:pPr>
              <w:spacing w:after="40"/>
            </w:pPr>
            <w:r>
              <w:t xml:space="preserve">10</w:t>
            </w:r>
          </w:p>
        </w:tc>
      </w:tr>
      <w:tr>
        <w:tc>
          <w:tcPr>
            <w:tcW w:type="dxa" w:w="624"/>
          </w:tcPr>
          <w:p>
            <w:pPr>
              <w:spacing w:after="40"/>
            </w:pPr>
            <w:r>
              <w:t xml:space="preserve">M4</w:t>
            </w:r>
          </w:p>
        </w:tc>
        <w:tc>
          <w:tcPr>
            <w:tcW w:type="dxa" w:w="2948"/>
          </w:tcPr>
          <w:p>
            <w:pPr>
              <w:spacing w:after="40"/>
            </w:pPr>
            <w:r>
              <w:t xml:space="preserve">Data breach: riconoscerlo e segnalarlo</w:t>
            </w:r>
          </w:p>
        </w:tc>
        <w:tc>
          <w:tcPr>
            <w:tcW w:type="dxa" w:w="3175"/>
          </w:tcPr>
          <w:p>
            <w:pPr>
              <w:spacing w:after="40"/>
            </w:pPr>
            <w:r>
              <w:t xml:space="preserve">GDPR artt. 4 n. 12, 33, 34</w:t>
            </w:r>
          </w:p>
        </w:tc>
        <w:tc>
          <w:tcPr>
            <w:tcW w:type="dxa" w:w="907"/>
          </w:tcPr>
          <w:p>
            <w:pPr>
              <w:spacing w:after="40"/>
            </w:pPr>
            <w:r>
              <w:t xml:space="preserve">27 min</w:t>
            </w:r>
          </w:p>
        </w:tc>
        <w:tc>
          <w:tcPr>
            <w:tcW w:type="dxa" w:w="680"/>
          </w:tcPr>
          <w:p>
            <w:pPr>
              <w:spacing w:after="40"/>
            </w:pPr>
            <w:r>
              <w:t xml:space="preserve">6</w:t>
            </w:r>
          </w:p>
        </w:tc>
      </w:tr>
      <w:tr>
        <w:tc>
          <w:tcPr>
            <w:tcW w:type="dxa" w:w="624"/>
          </w:tcPr>
          <w:p>
            <w:pPr>
              <w:spacing w:after="40"/>
            </w:pPr>
            <w:r>
              <w:t xml:space="preserve">M5</w:t>
            </w:r>
          </w:p>
        </w:tc>
        <w:tc>
          <w:tcPr>
            <w:tcW w:type="dxa" w:w="2948"/>
          </w:tcPr>
          <w:p>
            <w:pPr>
              <w:spacing w:after="40"/>
            </w:pPr>
            <w:r>
              <w:t xml:space="preserve">Casi pratici e istruzioni operative</w:t>
            </w:r>
          </w:p>
        </w:tc>
        <w:tc>
          <w:tcPr>
            <w:tcW w:type="dxa" w:w="3175"/>
          </w:tcPr>
          <w:p>
            <w:pPr>
              <w:spacing w:after="40"/>
            </w:pPr>
            <w:r>
              <w:t xml:space="preserve">casi pratici su tutto il corso</w:t>
            </w:r>
          </w:p>
        </w:tc>
        <w:tc>
          <w:tcPr>
            <w:tcW w:type="dxa" w:w="907"/>
          </w:tcPr>
          <w:p>
            <w:pPr>
              <w:spacing w:after="40"/>
            </w:pPr>
            <w:r>
              <w:t xml:space="preserve">36 min</w:t>
            </w:r>
          </w:p>
        </w:tc>
        <w:tc>
          <w:tcPr>
            <w:tcW w:type="dxa" w:w="680"/>
          </w:tcPr>
          <w:p>
            <w:pPr>
              <w:spacing w:after="40"/>
            </w:pPr>
            <w:r>
              <w:t xml:space="preserve">8</w:t>
            </w:r>
          </w:p>
        </w:tc>
      </w:tr>
    </w:tbl>
    <w:p>
      <w:pPr>
        <w:pBdr>
          <w:bottom w:val="single" w:sz="6" w:space="1" w:color="444444"/>
        </w:pBdr>
      </w:pPr>
    </w:p>
    <w:p>
      <w:r>
        <w:rPr>
          <w:b/>
        </w:rPr>
        <w:t xml:space="preserve">Argomenti per modulo (slide per slide)</w:t>
      </w:r>
    </w:p>
    <w:p>
      <w:pPr>
        <w:spacing w:before="160"/>
      </w:pPr>
      <w:r>
        <w:rPr>
          <w:b/>
          <w:sz w:val="20"/>
        </w:rPr>
        <w:t xml:space="preserve">M1 — Il GDPR in azienda: principi e definizioni   (40 minuti · 9 slide)</w:t>
      </w:r>
    </w:p>
    <w:p>
      <w:pPr>
        <w:pStyle w:val="ListBullet"/>
        <w:spacing w:after="20"/>
      </w:pPr>
      <w:r>
        <w:rPr>
          <w:sz w:val="18"/>
        </w:rPr>
        <w:t xml:space="preserve">Benvenuto: perché il corso è obbligatorio, come funziona, moduli in sequenza e checkpoint — 1 slide</w:t>
      </w:r>
    </w:p>
    <w:p>
      <w:pPr>
        <w:pStyle w:val="ListBullet"/>
        <w:spacing w:after="20"/>
      </w:pPr>
      <w:r>
        <w:rPr>
          <w:sz w:val="18"/>
        </w:rPr>
        <w:t xml:space="preserve">Obiettivi di apprendimento e programma dei cinque moduli — 1 slide</w:t>
      </w:r>
    </w:p>
    <w:p>
      <w:pPr>
        <w:pStyle w:val="ListBullet"/>
        <w:spacing w:after="20"/>
      </w:pPr>
      <w:r>
        <w:rPr>
          <w:sz w:val="18"/>
        </w:rPr>
        <w:t xml:space="preserve">Perché la privacy riguarda anche te: trattamento, dato personale identificabile, interessato — 1 slide</w:t>
      </w:r>
    </w:p>
    <w:p>
      <w:pPr>
        <w:pStyle w:val="ListBullet"/>
        <w:spacing w:after="20"/>
      </w:pPr>
      <w:r>
        <w:rPr>
          <w:sz w:val="18"/>
        </w:rPr>
        <w:t xml:space="preserve">Dati comuni, categorie particolari dell'articolo 9 e dati giudiziari dell'articolo 10 — 1 slide</w:t>
      </w:r>
    </w:p>
    <w:p>
      <w:pPr>
        <w:pStyle w:val="ListBullet"/>
        <w:spacing w:after="20"/>
      </w:pPr>
      <w:r>
        <w:rPr>
          <w:sz w:val="18"/>
        </w:rPr>
        <w:t xml:space="preserve">Esercizio guidato: classifica il dato, dalla targa alla temperatura del forno — 1 slide</w:t>
      </w:r>
    </w:p>
    <w:p>
      <w:pPr>
        <w:pStyle w:val="ListBullet"/>
        <w:spacing w:after="20"/>
      </w:pPr>
      <w:r>
        <w:rPr>
          <w:sz w:val="18"/>
        </w:rPr>
        <w:t xml:space="preserve">I sette principi dell'articolo 5: liceità, finalità, minimizzazione, esattezza — 1 slide</w:t>
      </w:r>
    </w:p>
    <w:p>
      <w:pPr>
        <w:pStyle w:val="ListBullet"/>
        <w:spacing w:after="20"/>
      </w:pPr>
      <w:r>
        <w:rPr>
          <w:sz w:val="18"/>
        </w:rPr>
        <w:t xml:space="preserve">I sette principi: conservazione, integrità e riservatezza, responsabilizzazione — 1 slide</w:t>
      </w:r>
    </w:p>
    <w:p>
      <w:pPr>
        <w:pStyle w:val="ListBullet"/>
        <w:spacing w:after="20"/>
      </w:pPr>
      <w:r>
        <w:rPr>
          <w:sz w:val="18"/>
        </w:rPr>
        <w:t xml:space="preserve">Le basi giuridiche dell'articolo 6: contratto, obbligo di legge, legittimo interesse, consenso — 1 slide</w:t>
      </w:r>
    </w:p>
    <w:p>
      <w:pPr>
        <w:pStyle w:val="ListBullet"/>
        <w:spacing w:after="20"/>
      </w:pPr>
      <w:r>
        <w:rPr>
          <w:sz w:val="18"/>
        </w:rPr>
        <w:t xml:space="preserve">Informativa e registro dei trattamenti; sintesi e verso il checkpoint — 1 slide</w:t>
      </w:r>
    </w:p>
    <w:p>
      <w:pPr>
        <w:spacing w:before="160"/>
      </w:pPr>
      <w:r>
        <w:rPr>
          <w:b/>
          <w:sz w:val="20"/>
        </w:rPr>
        <w:t xml:space="preserve">M2 — Ruoli, istruzioni e diritti degli interessati   (35 minuti · 8 slide)</w:t>
      </w:r>
    </w:p>
    <w:p>
      <w:pPr>
        <w:pStyle w:val="ListBullet"/>
        <w:spacing w:after="20"/>
      </w:pPr>
      <w:r>
        <w:rPr>
          <w:sz w:val="18"/>
        </w:rPr>
        <w:t xml:space="preserve">Chi fa cosa: titolare e responsabile del trattamento con contratto — 1 slide</w:t>
      </w:r>
    </w:p>
    <w:p>
      <w:pPr>
        <w:pStyle w:val="ListBullet"/>
        <w:spacing w:after="20"/>
      </w:pPr>
      <w:r>
        <w:rPr>
          <w:sz w:val="18"/>
        </w:rPr>
        <w:t xml:space="preserve">L'autorizzato, il DPO e il referente privacy: autorizzazione legata alla mansione — 1 slide</w:t>
      </w:r>
    </w:p>
    <w:p>
      <w:pPr>
        <w:pStyle w:val="ListBullet"/>
        <w:spacing w:after="20"/>
      </w:pPr>
      <w:r>
        <w:rPr>
          <w:sz w:val="18"/>
        </w:rPr>
        <w:t xml:space="preserve">Esercizio guidato: chi è chi in Officine Meridiana — 1 slide</w:t>
      </w:r>
    </w:p>
    <w:p>
      <w:pPr>
        <w:pStyle w:val="ListBullet"/>
        <w:spacing w:after="20"/>
      </w:pPr>
      <w:r>
        <w:rPr>
          <w:sz w:val="18"/>
        </w:rPr>
        <w:t xml:space="preserve">Le istruzioni per gli autorizzati: accesso, comunicazione, strumenti personali — 1 slide</w:t>
      </w:r>
    </w:p>
    <w:p>
      <w:pPr>
        <w:pStyle w:val="ListBullet"/>
        <w:spacing w:after="20"/>
      </w:pPr>
      <w:r>
        <w:rPr>
          <w:sz w:val="18"/>
        </w:rPr>
        <w:t xml:space="preserve">Le istruzioni: copie, custodia, segnalazioni, cessazione; l'ex collega al telefono — 1 slide</w:t>
      </w:r>
    </w:p>
    <w:p>
      <w:pPr>
        <w:pStyle w:val="ListBullet"/>
        <w:spacing w:after="20"/>
      </w:pPr>
      <w:r>
        <w:rPr>
          <w:sz w:val="18"/>
        </w:rPr>
        <w:t xml:space="preserve">I diritti degli interessati: accesso, rettifica, cancellazione, limitazione — 1 slide</w:t>
      </w:r>
    </w:p>
    <w:p>
      <w:pPr>
        <w:pStyle w:val="ListBullet"/>
        <w:spacing w:after="20"/>
      </w:pPr>
      <w:r>
        <w:rPr>
          <w:sz w:val="18"/>
        </w:rPr>
        <w:t xml:space="preserve">Portabilità, opposizione, decisioni automatizzate e il termine di un mese — 1 slide</w:t>
      </w:r>
    </w:p>
    <w:p>
      <w:pPr>
        <w:pStyle w:val="ListBullet"/>
        <w:spacing w:after="20"/>
      </w:pPr>
      <w:r>
        <w:rPr>
          <w:sz w:val="18"/>
        </w:rPr>
        <w:t xml:space="preserve">Cosa fare se ricevi una richiesta; sintesi e verso il checkpoint — 1 slide</w:t>
      </w:r>
    </w:p>
    <w:p>
      <w:pPr>
        <w:spacing w:before="160"/>
      </w:pPr>
      <w:r>
        <w:rPr>
          <w:b/>
          <w:sz w:val="20"/>
        </w:rPr>
        <w:t xml:space="preserve">M3 — Sicurezza quotidiana: password, phishing, dispositivi, lavoro da remoto   (45 minuti · 10 slide)</w:t>
      </w:r>
    </w:p>
    <w:p>
      <w:pPr>
        <w:pStyle w:val="ListBullet"/>
        <w:spacing w:after="20"/>
      </w:pPr>
      <w:r>
        <w:rPr>
          <w:sz w:val="18"/>
        </w:rPr>
        <w:t xml:space="preserve">Il fattore umano: misure tecniche e misure comportamentali — 1 slide</w:t>
      </w:r>
    </w:p>
    <w:p>
      <w:pPr>
        <w:pStyle w:val="ListBullet"/>
        <w:spacing w:after="20"/>
      </w:pPr>
      <w:r>
        <w:rPr>
          <w:sz w:val="18"/>
        </w:rPr>
        <w:t xml:space="preserve">Password robuste, frasi lunghe, mai condivise; password manager e autenticazione a due fattori — 1 slide</w:t>
      </w:r>
    </w:p>
    <w:p>
      <w:pPr>
        <w:pStyle w:val="ListBullet"/>
        <w:spacing w:after="20"/>
      </w:pPr>
      <w:r>
        <w:rPr>
          <w:sz w:val="18"/>
        </w:rPr>
        <w:t xml:space="preserve">Phishing: che cos'è, urgenza e minaccia, mittente anomalo — 1 slide</w:t>
      </w:r>
    </w:p>
    <w:p>
      <w:pPr>
        <w:pStyle w:val="ListBullet"/>
        <w:spacing w:after="20"/>
      </w:pPr>
      <w:r>
        <w:rPr>
          <w:sz w:val="18"/>
        </w:rPr>
        <w:t xml:space="preserve">Phishing: link, allegati, richieste insolite e la regola d'oro del canale diverso — 1 slide</w:t>
      </w:r>
    </w:p>
    <w:p>
      <w:pPr>
        <w:pStyle w:val="ListBullet"/>
        <w:spacing w:after="20"/>
      </w:pPr>
      <w:r>
        <w:rPr>
          <w:sz w:val="18"/>
        </w:rPr>
        <w:t xml:space="preserve">Esercizio guidato: i quattro segnali nella mail del falso direttore — 1 slide</w:t>
      </w:r>
    </w:p>
    <w:p>
      <w:pPr>
        <w:pStyle w:val="ListBullet"/>
        <w:spacing w:after="20"/>
      </w:pPr>
      <w:r>
        <w:rPr>
          <w:sz w:val="18"/>
        </w:rPr>
        <w:t xml:space="preserve">Postazione e carta: blocco schermo, clean desk, stampe, distruggidocumenti — 1 slide</w:t>
      </w:r>
    </w:p>
    <w:p>
      <w:pPr>
        <w:pStyle w:val="ListBullet"/>
        <w:spacing w:after="20"/>
      </w:pPr>
      <w:r>
        <w:rPr>
          <w:sz w:val="18"/>
        </w:rPr>
        <w:t xml:space="preserve">Dispositivi mobili e comunicazioni: cifratura, smarrimento, Ccn, allegati sensibili — 1 slide</w:t>
      </w:r>
    </w:p>
    <w:p>
      <w:pPr>
        <w:pStyle w:val="ListBullet"/>
        <w:spacing w:after="20"/>
      </w:pPr>
      <w:r>
        <w:rPr>
          <w:sz w:val="18"/>
        </w:rPr>
        <w:t xml:space="preserve">Lavoro da remoto e smart working: dispositivi aziendali, VPN, riservatezza in casa e in viaggio — 1 slide</w:t>
      </w:r>
    </w:p>
    <w:p>
      <w:pPr>
        <w:pStyle w:val="ListBullet"/>
        <w:spacing w:after="20"/>
      </w:pPr>
      <w:r>
        <w:rPr>
          <w:sz w:val="18"/>
        </w:rPr>
        <w:t xml:space="preserve">Esercizio guidato: il controllo della postazione a fine giornata — 1 slide</w:t>
      </w:r>
    </w:p>
    <w:p>
      <w:pPr>
        <w:pStyle w:val="ListBullet"/>
        <w:spacing w:after="20"/>
      </w:pPr>
      <w:r>
        <w:rPr>
          <w:sz w:val="18"/>
        </w:rPr>
        <w:t xml:space="preserve">Sintesi del modulo e verso il checkpoint — 1 slide</w:t>
      </w:r>
    </w:p>
    <w:p>
      <w:pPr>
        <w:spacing w:before="160"/>
      </w:pPr>
      <w:r>
        <w:rPr>
          <w:b/>
          <w:sz w:val="20"/>
        </w:rPr>
        <w:t xml:space="preserve">M4 — Data breach: riconoscerlo e segnalarlo   (27 minuti · 6 slide)</w:t>
      </w:r>
    </w:p>
    <w:p>
      <w:pPr>
        <w:pStyle w:val="ListBullet"/>
        <w:spacing w:after="20"/>
      </w:pPr>
      <w:r>
        <w:rPr>
          <w:sz w:val="18"/>
        </w:rPr>
        <w:t xml:space="preserve">Che cos'è un data breach: riservatezza, integrità, disponibilità — 1 slide</w:t>
      </w:r>
    </w:p>
    <w:p>
      <w:pPr>
        <w:pStyle w:val="ListBullet"/>
        <w:spacing w:after="20"/>
      </w:pPr>
      <w:r>
        <w:rPr>
          <w:sz w:val="18"/>
        </w:rPr>
        <w:t xml:space="preserve">Esempi reali in azienda: busta paga sbagliata, foglio sulla fotocopiatrice, chiavetta, portale aperto — 1 slide</w:t>
      </w:r>
    </w:p>
    <w:p>
      <w:pPr>
        <w:pStyle w:val="ListBullet"/>
        <w:spacing w:after="20"/>
      </w:pPr>
      <w:r>
        <w:rPr>
          <w:sz w:val="18"/>
        </w:rPr>
        <w:t xml:space="preserve">Le settantadue ore, la comunicazione agli interessati e il registro delle violazioni — 1 slide</w:t>
      </w:r>
    </w:p>
    <w:p>
      <w:pPr>
        <w:pStyle w:val="ListBullet"/>
        <w:spacing w:after="20"/>
      </w:pPr>
      <w:r>
        <w:rPr>
          <w:sz w:val="18"/>
        </w:rPr>
        <w:t xml:space="preserve">Esercizio guidato: i passi nell'ordine giusto dopo un invio sbagliato — 1 slide</w:t>
      </w:r>
    </w:p>
    <w:p>
      <w:pPr>
        <w:pStyle w:val="ListBullet"/>
        <w:spacing w:after="20"/>
      </w:pPr>
      <w:r>
        <w:rPr>
          <w:sz w:val="18"/>
        </w:rPr>
        <w:t xml:space="preserve">Cosa fare e cosa non fare; il caso di Giulia — 1 slide</w:t>
      </w:r>
    </w:p>
    <w:p>
      <w:pPr>
        <w:pStyle w:val="ListBullet"/>
        <w:spacing w:after="20"/>
      </w:pPr>
      <w:r>
        <w:rPr>
          <w:sz w:val="18"/>
        </w:rPr>
        <w:t xml:space="preserve">Sintesi del modulo e verso il checkpoint — 1 slide</w:t>
      </w:r>
    </w:p>
    <w:p>
      <w:pPr>
        <w:spacing w:before="160"/>
      </w:pPr>
      <w:r>
        <w:rPr>
          <w:b/>
          <w:sz w:val="20"/>
        </w:rPr>
        <w:t xml:space="preserve">M5 — Casi pratici e istruzioni operative   (36 minuti · 8 slide)</w:t>
      </w:r>
    </w:p>
    <w:p>
      <w:pPr>
        <w:pStyle w:val="ListBullet"/>
        <w:spacing w:after="20"/>
      </w:pPr>
      <w:r>
        <w:rPr>
          <w:sz w:val="18"/>
        </w:rPr>
        <w:t xml:space="preserve">Caso uno: il corriere chiede l'indirizzo di casa di un dipendente — 1 slide</w:t>
      </w:r>
    </w:p>
    <w:p>
      <w:pPr>
        <w:pStyle w:val="ListBullet"/>
        <w:spacing w:after="20"/>
      </w:pPr>
      <w:r>
        <w:rPr>
          <w:sz w:val="18"/>
        </w:rPr>
        <w:t xml:space="preserve">Caso due: il certificato medico chiesto sul WhatsApp personale — 1 slide</w:t>
      </w:r>
    </w:p>
    <w:p>
      <w:pPr>
        <w:pStyle w:val="ListBullet"/>
        <w:spacing w:after="20"/>
      </w:pPr>
      <w:r>
        <w:rPr>
          <w:sz w:val="18"/>
        </w:rPr>
        <w:t xml:space="preserve">Caso tre: il cliente che non vuole più ricevere offerte — 1 slide</w:t>
      </w:r>
    </w:p>
    <w:p>
      <w:pPr>
        <w:pStyle w:val="ListBullet"/>
        <w:spacing w:after="20"/>
      </w:pPr>
      <w:r>
        <w:rPr>
          <w:sz w:val="18"/>
        </w:rPr>
        <w:t xml:space="preserve">Caso quattro: codici fiscali e IBAN da inviare al consulente esterno — 1 slide</w:t>
      </w:r>
    </w:p>
    <w:p>
      <w:pPr>
        <w:pStyle w:val="ListBullet"/>
        <w:spacing w:after="20"/>
      </w:pPr>
      <w:r>
        <w:rPr>
          <w:sz w:val="18"/>
        </w:rPr>
        <w:t xml:space="preserve">Caso cinque: le foto della festa aziendale sui social — 1 slide</w:t>
      </w:r>
    </w:p>
    <w:p>
      <w:pPr>
        <w:pStyle w:val="ListBullet"/>
        <w:spacing w:after="20"/>
      </w:pPr>
      <w:r>
        <w:rPr>
          <w:sz w:val="18"/>
        </w:rPr>
        <w:t xml:space="preserve">Le istruzioni operative di ogni giorno e quando hai un dubbio — 1 slide</w:t>
      </w:r>
    </w:p>
    <w:p>
      <w:pPr>
        <w:pStyle w:val="ListBullet"/>
        <w:spacing w:after="20"/>
      </w:pPr>
      <w:r>
        <w:rPr>
          <w:sz w:val="18"/>
        </w:rPr>
        <w:t xml:space="preserve">Le cose da fare subito, senza aspettare; contatti del referente e dell'IT — 1 slide</w:t>
      </w:r>
    </w:p>
    <w:p>
      <w:pPr>
        <w:pStyle w:val="ListBullet"/>
        <w:spacing w:after="20"/>
      </w:pPr>
      <w:r>
        <w:rPr>
          <w:sz w:val="18"/>
        </w:rPr>
        <w:t xml:space="preserve">Sintesi del corso e preparazione all'esame finale — 1 slide</w:t>
      </w:r>
    </w:p>
    <w:p>
      <w:pPr>
        <w:pBdr>
          <w:bottom w:val="single" w:sz="6" w:space="1" w:color="444444"/>
        </w:pBdr>
      </w:pPr>
    </w:p>
    <w:p>
      <w:r>
        <w:rPr>
          <w:b/>
        </w:rPr>
        <w:t xml:space="preserve">Destinatari, verifiche e prezzo</w:t>
      </w:r>
    </w:p>
    <w:p>
      <w:pPr>
        <w:pStyle w:val="ListBullet"/>
        <w:spacing w:after="20"/>
      </w:pPr>
      <w:r>
        <w:rPr>
          <w:sz w:val="18"/>
        </w:rPr>
        <w:t xml:space="preserve">Destinatari: tutto il personale autorizzato al trattamento. Corso obbligatorio per le aziende (artt. 29 e 32 GDPR)</w:t>
      </w:r>
    </w:p>
    <w:p>
      <w:pPr>
        <w:pStyle w:val="ListBullet"/>
        <w:spacing w:after="20"/>
      </w:pPr>
      <w:r>
        <w:rPr>
          <w:sz w:val="18"/>
        </w:rPr>
        <w:t xml:space="preserve">Checkpoint: uno per modulo, bloccante, cinque domande estratte da una banca di almeno dieci, soglia 80%</w:t>
      </w:r>
    </w:p>
    <w:p>
      <w:pPr>
        <w:pStyle w:val="ListBullet"/>
        <w:spacing w:after="20"/>
      </w:pPr>
      <w:r>
        <w:rPr>
          <w:sz w:val="18"/>
        </w:rPr>
        <w:t xml:space="preserve">Esame finale: dodici domande estratte dalla banca, soglia 75% (9 su 12)</w:t>
      </w:r>
    </w:p>
    <w:p>
      <w:pPr>
        <w:pStyle w:val="ListBullet"/>
        <w:spacing w:after="20"/>
      </w:pPr>
      <w:r>
        <w:rPr>
          <w:sz w:val="18"/>
        </w:rPr>
        <w:t xml:space="preserve">Attestato: attestato di formazione EVALIS Academy (nessun accreditamento CERTIS)</w:t>
      </w:r>
    </w:p>
    <w:p>
      <w:pPr>
        <w:pStyle w:val="ListBullet"/>
        <w:spacing w:after="20"/>
      </w:pPr>
      <w:r>
        <w:rPr>
          <w:sz w:val="18"/>
        </w:rPr>
        <w:t xml:space="preserve">Area di catalogo: privacy e compliance · Modalità: FAD asincrona con relatore avatar su ogni slide</w:t>
      </w:r>
    </w:p>
    <w:p>
      <w:pPr>
        <w:pStyle w:val="ListBullet"/>
        <w:spacing w:after="20"/>
      </w:pPr>
      <w:r>
        <w:rPr>
          <w:sz w:val="18"/>
        </w:rPr>
        <w:t xml:space="preserve">Prezzo: 50 € a persona; 30 € a persona nei pacchetti aziendali con più dipendenti, IVA esclusa</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Privacy e protezione dei dati per il personale — Evalis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