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PROPOSTA DIDATTICA — CORSO CARBON FOOTPRINT DI ORGANIZZAZIONE E DI PRODOTTO</w:t>
      </w:r>
    </w:p>
    <w:p>
      <w:pPr>
        <w:jc w:val="center"/>
      </w:pPr>
      <w:r>
        <w:rPr>
          <w:b/>
          <w:sz w:val="24"/>
        </w:rPr>
        <w:t xml:space="preserve">EVALIS ACADEMY</w:t>
      </w:r>
    </w:p>
    <w:p>
      <w:pPr>
        <w:jc w:val="center"/>
      </w:pPr>
      <w:r>
        <w:rPr>
          <w:b/>
          <w:sz w:val="18"/>
        </w:rPr>
        <w:t xml:space="preserve">EMESSO A OTTOBRE 2026 — BOZZA PER APPROVAZIONE</w:t>
      </w:r>
    </w:p>
    <w:p>
      <w:pPr>
        <w:pBdr>
          <w:bottom w:val="single" w:sz="6" w:space="1" w:color="444444"/>
        </w:pBdr>
      </w:pPr>
    </w:p>
    <w:p>
      <w:r>
        <w:t xml:space="preserve">Il presente documento raccoglie la struttura didattica del corso FAD-CFP-01 sulla carbon footprint di organizzazione e di prodotto. Il corso nasce dal materiale didattico già redatto (dieci unità, centoventi sezioni, il caso ricorrente del Pastificio Terrafelix) e segue GHG Protocol, ISO 14064-1, ISO 14067 e ISO 14068-1. Tutti i centotrenta calcoli svolti del materiale sono stati ricalcolati riga per riga e coincidono con i totali dichiarati. Ogni unità diventa un modulo della piattaforma con la stessa durata del programma, e ogni slide è narrata dal relatore avatar, con lo stesso standard di voce, impaginazione e verifica dei corsi già in catalogo. I calcolatori «Prova tu» restano interattivi anche in piattaforma.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Il corso in sintesi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Corso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Moduli</w:t>
            </w:r>
          </w:p>
        </w:tc>
        <w:tc>
          <w:tcPr>
            <w:tcW w:type="dxa" w:w="2379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2379"/>
          </w:tcPr>
          <w:p>
            <w:pPr>
              <w:spacing w:after="40"/>
            </w:pPr>
            <w:r>
              <w:t xml:space="preserve">Carbon Footprint — misurare, calcolare e ridurre le emissioni di organizzazioni e prodotti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24 ore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379"/>
          </w:tcPr>
          <w:p>
            <w:pPr>
              <w:spacing w:after="40"/>
            </w:pPr>
            <w:r>
              <w:t xml:space="preserve">326</w:t>
            </w:r>
          </w:p>
        </w:tc>
      </w:tr>
    </w:tbl>
    <w:p>
      <w:r>
        <w:rPr>
          <w:i/>
          <w:sz w:val="18"/>
        </w:rPr>
        <w:t xml:space="preserve">Totale: 24 ore di formazione (1463 minuti di contenuti narrati per 1440 minuti legali) · 326 slide.</w:t>
      </w:r>
    </w:p>
    <w:p>
      <w:r>
        <w:t xml:space="preserve">Ogni modulo è una lezione della piattaforma e si chiude con un checkpoint di verifica (quiz con domande estratte da banca dati, non conteggiato nel monte ore), costruito sulle verifiche intermedie dell'unità. Il corso si chiude con l'esame finale: 20 domande estratte dalla banca delle 120 domande degli esami di unità, soglia del 75%.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Che cosa porta a casa chi frequenta il corso</w:t>
      </w:r>
    </w:p>
    <w:p>
      <w:pPr>
        <w:pStyle w:val="ListBullet"/>
        <w:spacing w:after="20"/>
      </w:pPr>
      <w:r>
        <w:rPr>
          <w:sz w:val="18"/>
        </w:rPr>
        <w:t xml:space="preserve">Spiegare effetto serra, gas serra e CO2 equivalente, e convertire una quantità di gas con il GWP a 100 anni</w:t>
      </w:r>
    </w:p>
    <w:p>
      <w:pPr>
        <w:pStyle w:val="ListBullet"/>
        <w:spacing w:after="20"/>
      </w:pPr>
      <w:r>
        <w:rPr>
          <w:sz w:val="18"/>
        </w:rPr>
        <w:t xml:space="preserve">Applicare la formula dato di attività per fattore di emissione, scegliendo unità di misura, fattori e fonti corrette</w:t>
      </w:r>
    </w:p>
    <w:p>
      <w:pPr>
        <w:pStyle w:val="ListBullet"/>
        <w:spacing w:after="20"/>
      </w:pPr>
      <w:r>
        <w:rPr>
          <w:sz w:val="18"/>
        </w:rPr>
        <w:t xml:space="preserve">Impostare l'inventario di un'organizzazione: confini, Scope 1, 2 e 3, le sei categorie della ISO 14064-1, anno base</w:t>
      </w:r>
    </w:p>
    <w:p>
      <w:pPr>
        <w:pStyle w:val="ListBullet"/>
        <w:spacing w:after="20"/>
      </w:pPr>
      <w:r>
        <w:rPr>
          <w:sz w:val="18"/>
        </w:rPr>
        <w:t xml:space="preserve">Calcolare le emissioni dirette: combustione fissa e mobile, gas refrigeranti, emissioni di processo</w:t>
      </w:r>
    </w:p>
    <w:p>
      <w:pPr>
        <w:pStyle w:val="ListBullet"/>
        <w:spacing w:after="20"/>
      </w:pPr>
      <w:r>
        <w:rPr>
          <w:sz w:val="18"/>
        </w:rPr>
        <w:t xml:space="preserve">Calcolare le emissioni da energia acquistata con i metodi location-based e market-based</w:t>
      </w:r>
    </w:p>
    <w:p>
      <w:pPr>
        <w:pStyle w:val="ListBullet"/>
        <w:spacing w:after="20"/>
      </w:pPr>
      <w:r>
        <w:rPr>
          <w:sz w:val="18"/>
        </w:rPr>
        <w:t xml:space="preserve">Calcolare le emissioni della catena del valore, scegliendo metodo e priorità fra le 15 categorie</w:t>
      </w:r>
    </w:p>
    <w:p>
      <w:pPr>
        <w:pStyle w:val="ListBullet"/>
        <w:spacing w:after="20"/>
      </w:pPr>
      <w:r>
        <w:rPr>
          <w:sz w:val="18"/>
        </w:rPr>
        <w:t xml:space="preserve">Consolidare l'inventario, valutare l'incertezza, preparare il rapporto GHG e la verifica</w:t>
      </w:r>
    </w:p>
    <w:p>
      <w:pPr>
        <w:pStyle w:val="ListBullet"/>
        <w:spacing w:after="20"/>
      </w:pPr>
      <w:r>
        <w:rPr>
          <w:sz w:val="18"/>
        </w:rPr>
        <w:t xml:space="preserve">Calcolare la carbon footprint di un prodotto secondo la ISO 14067: unità funzionale, confine, allocazione</w:t>
      </w:r>
    </w:p>
    <w:p>
      <w:pPr>
        <w:pStyle w:val="ListBullet"/>
        <w:spacing w:after="20"/>
      </w:pPr>
      <w:r>
        <w:rPr>
          <w:sz w:val="18"/>
        </w:rPr>
        <w:t xml:space="preserve">Fissare obiettivi di riduzione e costruire un piano di decarbonizzazione con costi e priorità</w:t>
      </w:r>
    </w:p>
    <w:p>
      <w:pPr>
        <w:pStyle w:val="ListBullet"/>
        <w:spacing w:after="20"/>
      </w:pPr>
      <w:r>
        <w:rPr>
          <w:sz w:val="18"/>
        </w:rPr>
        <w:t xml:space="preserve">Usare correttamente crediti, neutralità carbonica e comunicazione, applicando tutto al caso Terrafelix</w:t>
      </w:r>
    </w:p>
    <w:p>
      <w:pPr>
        <w:pBdr>
          <w:bottom w:val="single" w:sz="6" w:space="1" w:color="444444"/>
        </w:pBdr>
      </w:pPr>
    </w:p>
    <w:p>
      <w:r>
        <w:rPr>
          <w:b/>
          <w:sz w:val="24"/>
        </w:rPr>
        <w:t xml:space="preserve">CARBON FOOTPRINT — MISURARE, CALCOLARE E RIDURRE LE EMISSIONI DI ORGANIZZAZIONI E PRODOTTI</w:t>
      </w:r>
    </w:p>
    <w:p>
      <w:r>
        <w:rPr>
          <w:b/>
          <w:sz w:val="20"/>
        </w:rPr>
        <w:t xml:space="preserve">Durata: 24 ore</w:t>
      </w:r>
    </w:p>
    <w:p>
      <w:pPr>
        <w:pBdr>
          <w:bottom w:val="single" w:sz="6" w:space="1" w:color="444444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624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Mod.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Titolo</w:t>
            </w:r>
          </w:p>
        </w:tc>
        <w:tc>
          <w:tcPr>
            <w:tcW w:type="dxa" w:w="317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Copertura della norma</w:t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Durata</w:t>
            </w:r>
          </w:p>
        </w:tc>
        <w:tc>
          <w:tcPr>
            <w:tcW w:type="dxa" w:w="680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Slide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Clima, gas serra e carbon footprint: i concetti di base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quadro generale: GHG Protocol, ISO 14064, 14067, 14068-1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122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La formula del conteggio: dati di attività, fattori di emissione, unità di misura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formula del conteggio, fattori, GWP IPCC AR6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152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34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Impostare l’inventario di organizzazione: confini, scope e categorie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ISO 14064-1 (confini, sei categorie), GHG Protocol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122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Calcolare le emissioni dirette (Scope 1)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Scope 1 · categoria 1 ISO 14064-1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183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41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Calcolare le emissioni da energia acquistata (Scope 2)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Scope 2 · GHG Protocol Scope 2 Guidance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152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34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Calcolare le emissioni della catena del valore (Scope 3)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Scope 3 · GHG Protocol, 15 categorie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183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41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Dai calcoli al rapporto: consolidare, valutare l’incertezza, verificare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rapporto GHG, incertezza, ISO 14064-3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122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M8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La carbon footprint di prodotto (ISO 14067)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ISO 14067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183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41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Ridurre le emissioni: obiettivi e piano di decarbonizzazione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obiettivi e piano di riduzione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122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27</w:t>
            </w:r>
          </w:p>
        </w:tc>
      </w:tr>
      <w:tr>
        <w:tc>
          <w:tcPr>
            <w:tcW w:type="dxa" w:w="624"/>
          </w:tcPr>
          <w:p>
            <w:pPr>
              <w:spacing w:after="40"/>
            </w:pPr>
            <w:r>
              <w:t xml:space="preserve">M10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t xml:space="preserve">Compensare, dichiarare, comunicare — ed esercitazione finale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t xml:space="preserve">ISO 14068-1, dichiarazioni, esercitazione</w:t>
            </w:r>
          </w:p>
        </w:tc>
        <w:tc>
          <w:tcPr>
            <w:tcW w:type="dxa" w:w="907"/>
          </w:tcPr>
          <w:p>
            <w:pPr>
              <w:spacing w:after="40"/>
            </w:pPr>
            <w:r>
              <w:t xml:space="preserve">122 min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t xml:space="preserve">27</w:t>
            </w:r>
          </w:p>
        </w:tc>
      </w:tr>
    </w:tbl>
    <w:p>
      <w:pPr>
        <w:pBdr>
          <w:bottom w:val="single" w:sz="6" w:space="1" w:color="444444"/>
        </w:pBdr>
      </w:pPr>
    </w:p>
    <w:p>
      <w:r>
        <w:rPr>
          <w:b/>
        </w:rPr>
        <w:t xml:space="preserve">Argomenti per modulo (slide per slide)</w:t>
      </w:r>
    </w:p>
    <w:p>
      <w:pPr>
        <w:spacing w:before="160"/>
      </w:pPr>
      <w:r>
        <w:rPr>
          <w:b/>
          <w:sz w:val="20"/>
        </w:rPr>
        <w:t xml:space="preserve">M1 — Clima, gas serra e carbon footprint: i concetti di base   (122 minuti · 27 slide)</w:t>
      </w:r>
    </w:p>
    <w:p>
      <w:pPr>
        <w:pStyle w:val="ListBullet"/>
        <w:spacing w:after="20"/>
      </w:pPr>
      <w:r>
        <w:rPr>
          <w:sz w:val="18"/>
        </w:rPr>
        <w:t xml:space="preserve">Benvenuto e apertura del corso. Perché parlare di carbonio: L’effetto serra in quattro passaggi; Tre numeri per capire la dimensione del problema; Le tappe: da Rio alla legge europea sul clima; Dal clima all’azienda: perché ci riguarda. — 2 slide</w:t>
      </w:r>
    </w:p>
    <w:p>
      <w:pPr>
        <w:pStyle w:val="ListBullet"/>
        <w:spacing w:after="20"/>
      </w:pPr>
      <w:r>
        <w:rPr>
          <w:sz w:val="18"/>
        </w:rPr>
        <w:t xml:space="preserve">I gas serra: I sette gas serra degli inventari; Dove cercare i gas serra in un’azienda; Caso studio: il primo giro nello stabilimento. — 2 slide</w:t>
      </w:r>
    </w:p>
    <w:p>
      <w:pPr>
        <w:pStyle w:val="ListBullet"/>
        <w:spacing w:after="20"/>
      </w:pPr>
      <w:r>
        <w:rPr>
          <w:sz w:val="18"/>
        </w:rPr>
        <w:t xml:space="preserve">La CO2 equivalente e il GWP: Tre parole da non confondere più; I valori di GWP a 100 anni: tre edizioni dei rapporti IPCC; Quanto «pesa» un chilogrammo di gas: i GWP a confronto; Primo conto: quanto vale 1 kg di tre gas diversi; Le miscele: da dove viene il 2.256 dell’R-410A; Prova tu: da chilogrammi di gas a CO2 equivalente. — 3 slide</w:t>
      </w:r>
    </w:p>
    <w:p>
      <w:pPr>
        <w:pStyle w:val="ListBullet"/>
        <w:spacing w:after="20"/>
      </w:pPr>
      <w:r>
        <w:rPr>
          <w:sz w:val="18"/>
        </w:rPr>
        <w:t xml:space="preserve">Che cos’è una carbon footprint: Una definizione operativa; Organizzazione e prodotto: due oggetti, due domande; Lo stesso pastificio, due numeri diversi; Misurare, ridurre, compensare: l’ordine giusto. — 2 slide</w:t>
      </w:r>
    </w:p>
    <w:p>
      <w:pPr>
        <w:pStyle w:val="ListBullet"/>
        <w:spacing w:after="20"/>
      </w:pPr>
      <w:r>
        <w:rPr>
          <w:sz w:val="18"/>
        </w:rPr>
        <w:t xml:space="preserve">Ordini di grandezza: La scala delle unità: dal grammo al miliardo di tonnellate; Quanti chilometri in auto valgono 1 tonnellata di CO2e; Che cosa vale 1 tonnellata di CO2e; Un anno di consumi di una famiglia: quanto fa?; I gesti quotidiani a confronto; Tre scale da tenere a mente. — 3 slide</w:t>
      </w:r>
    </w:p>
    <w:p>
      <w:pPr>
        <w:pStyle w:val="ListBullet"/>
        <w:spacing w:after="20"/>
      </w:pPr>
      <w:r>
        <w:rPr>
          <w:sz w:val="18"/>
        </w:rPr>
        <w:t xml:space="preserve">Chi chiede i numeri e perché: Chi chiede oggi i dati di emissione a un’impresa; A ogni richiesta il suo strumento; Obbligo di legge o scelta volontaria?; Caso studio: tre richieste in poche settimane. — 2 slide</w:t>
      </w:r>
    </w:p>
    <w:p>
      <w:pPr>
        <w:pStyle w:val="ListBullet"/>
        <w:spacing w:after="20"/>
      </w:pPr>
      <w:r>
        <w:rPr>
          <w:sz w:val="18"/>
        </w:rPr>
        <w:t xml:space="preserve">Le norme di riferimento: La mappa degli standard sui gas serra; Quale norma per quale oggetto; Quando sono nate le regole. — 2 slide</w:t>
      </w:r>
    </w:p>
    <w:p>
      <w:pPr>
        <w:pStyle w:val="ListBullet"/>
        <w:spacing w:after="20"/>
      </w:pPr>
      <w:r>
        <w:rPr>
          <w:sz w:val="18"/>
        </w:rPr>
        <w:t xml:space="preserve">Scope 1, 2 e 3 a colpo d’occhio: Dentro i cancelli, energia comprata, tutto il resto; Esempi per ciascuno scope; Anteprima: gli scope e le sei categorie ISO 14064-1. — 2 slide</w:t>
      </w:r>
    </w:p>
    <w:p>
      <w:pPr>
        <w:pStyle w:val="ListBullet"/>
        <w:spacing w:after="20"/>
      </w:pPr>
      <w:r>
        <w:rPr>
          <w:sz w:val="18"/>
        </w:rPr>
        <w:t xml:space="preserve">Il caso studio: Pastificio Terrafelix: Caso studio: il profilo dell’azienda; Le persone del progetto; I risultati in anteprima: le emissioni del 2025 per scope; Le tre voci più grandi del pastificio, una per scope; Tre percentuali che sorprendono; Caso studio: la prima lettura dei risultati. — 3 slide</w:t>
      </w:r>
    </w:p>
    <w:p>
      <w:pPr>
        <w:pStyle w:val="ListBullet"/>
        <w:spacing w:after="20"/>
      </w:pPr>
      <w:r>
        <w:rPr>
          <w:sz w:val="18"/>
        </w:rPr>
        <w:t xml:space="preserve">Il metodo del corso e gli strumenti: Una sola formula per tutto il corso; Le cinque domande di ogni calcolo; Un primo esempio completo: una piccola azienda di impiantistica; Prova tu: le emissioni di una piccola azienda; Lo strumento: una riga del foglio di calcolo; Avvertenza sui fattori di emissione del corso. — 2 slide</w:t>
      </w:r>
    </w:p>
    <w:p>
      <w:pPr>
        <w:pStyle w:val="ListBullet"/>
        <w:spacing w:after="20"/>
      </w:pPr>
      <w:r>
        <w:rPr>
          <w:sz w:val="18"/>
        </w:rPr>
        <w:t xml:space="preserve">Il percorso in dieci unità: Le dieci unità del corso: 24 ore in tutto; La logica del percorso; Il calendario del progetto al Pastificio Terrafelix (2026). — 2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Autovalutazione: che cosa so fare dopo questa unità; Le parole giuste e quelle sbagliate; Caso studio: la frase per il sito aziendale; Un ultimo conto di ripasso: tre righe, due tipi di calcolo; I punti chiave dell’unità. Verso il checkpoint. — 2 slide</w:t>
      </w:r>
    </w:p>
    <w:p>
      <w:pPr>
        <w:spacing w:before="160"/>
      </w:pPr>
      <w:r>
        <w:rPr>
          <w:b/>
          <w:sz w:val="20"/>
        </w:rPr>
        <w:t xml:space="preserve">M2 — La formula del conteggio: dati di attività, fattori di emissione, unità di misura   (152 minuti · 34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Una sola formula: L’anatomia di un calcolo: cinque passi sempre uguali; Primo esempio svolto: la caldaia a gas di un’azienda; Leggere il risultato: che cosa dicono i quattro numeri; I tre ingredienti di ogni calcolo e il risultato; Terrafelix: una formula per tutte le righe dell’inventario. — 3 slide</w:t>
      </w:r>
    </w:p>
    <w:p>
      <w:pPr>
        <w:pStyle w:val="ListBullet"/>
        <w:spacing w:after="20"/>
      </w:pPr>
      <w:r>
        <w:rPr>
          <w:sz w:val="18"/>
        </w:rPr>
        <w:t xml:space="preserve">Il dato di attività: I tipi di dato di attività; Dove si trova il dato: sorgente, documento, ufficio; Terrafelix: Chiara Vitale raccoglie le bollette. — 2 slide</w:t>
      </w:r>
    </w:p>
    <w:p>
      <w:pPr>
        <w:pStyle w:val="ListBullet"/>
        <w:spacing w:after="20"/>
      </w:pPr>
      <w:r>
        <w:rPr>
          <w:sz w:val="18"/>
        </w:rPr>
        <w:t xml:space="preserve">Le unità di misura e le conversioni: Le unità che si incontrano e le equivalenze da ricordare; Conversioni di energia: tutto in kWh; Carburanti: dai litri ai chilogrammi; Trasporti: tonnellate-chilometro e passeggeri-chilometro; Prova tu: l’unità del dato deve essere quella del fattore. — 3 slide</w:t>
      </w:r>
    </w:p>
    <w:p>
      <w:pPr>
        <w:pStyle w:val="ListBullet"/>
        <w:spacing w:after="20"/>
      </w:pPr>
      <w:r>
        <w:rPr>
          <w:sz w:val="18"/>
        </w:rPr>
        <w:t xml:space="preserve">Il fattore di emissione: Come si legge un fattore di emissione; I fattori di emissione del corso: una selezione; Combustione e filiera a monte: due fattori per lo stesso combustibile; Mille litri di gasolio: combustione più filiera a monte. — 3 slide</w:t>
      </w:r>
    </w:p>
    <w:p>
      <w:pPr>
        <w:pStyle w:val="ListBullet"/>
        <w:spacing w:after="20"/>
      </w:pPr>
      <w:r>
        <w:rPr>
          <w:sz w:val="18"/>
        </w:rPr>
        <w:t xml:space="preserve">Dove si trovano i fattori di emissione: Le principali fonti di fattori di emissione; Quale fattore preferire: l’ordine di scelta (buona prassi); Sette domande prima di adottare un fattore; Perché l’anno conta: stessi 100.000 kWh, tre fattori ISPRA. — 3 slide</w:t>
      </w:r>
    </w:p>
    <w:p>
      <w:pPr>
        <w:pStyle w:val="ListBullet"/>
        <w:spacing w:after="20"/>
      </w:pPr>
      <w:r>
        <w:rPr>
          <w:sz w:val="18"/>
        </w:rPr>
        <w:t xml:space="preserve">Il GWP nei calcoli: Quando serve il GWP e quando è già dentro il fattore; Stesso gas, tre rapporti IPCC: come cambia il GWP; Ricarica di 12 kg di R-410A: il calcolo con i GWP AR6; Gli stessi 12 kg con i GWP AR4: il risultato cambia; Metano: 100 kg di origine fossile e 100 kg non fossile. — 3 slide</w:t>
      </w:r>
    </w:p>
    <w:p>
      <w:pPr>
        <w:pStyle w:val="ListBullet"/>
        <w:spacing w:after="20"/>
      </w:pPr>
      <w:r>
        <w:rPr>
          <w:sz w:val="18"/>
        </w:rPr>
        <w:t xml:space="preserve">Dati primari e secondari: la qualità del dato: Dati primari e dati secondari; Una scala di qualità del dato da 5 a 1 (modello didattico); Quando mancano i litri: chilometri × consumo medio × fattore; Terrafelix: due mesi di schede carburante mancanti. — 3 slide</w:t>
      </w:r>
    </w:p>
    <w:p>
      <w:pPr>
        <w:pStyle w:val="ListBullet"/>
        <w:spacing w:after="20"/>
      </w:pPr>
      <w:r>
        <w:rPr>
          <w:sz w:val="18"/>
        </w:rPr>
        <w:t xml:space="preserve">Arrotondamenti, cifre significative, tonnellate: Dai chilogrammi alle tonnellate: tre passi in ordine; Sei piccole sorgenti sommate nel modo corretto; L’errore: arrotondare ogni riga alle tonnellate intere; Arrotondamenti e cifre: corretto e sbagliato. — 3 slide</w:t>
      </w:r>
    </w:p>
    <w:p>
      <w:pPr>
        <w:pStyle w:val="ListBullet"/>
        <w:spacing w:after="20"/>
      </w:pPr>
      <w:r>
        <w:rPr>
          <w:sz w:val="18"/>
        </w:rPr>
        <w:t xml:space="preserve">Un calcolo completo guidato: Idrotermica Aurora: le sorgenti e i dati raccolti; Aurora, passo 1: l’energia della sede; Aurora, passo 2: i furgoni e il viaggio in aereo; Aurora, passo 3: la ricarica di gas refrigerante; Aurora: il risultato, 28,8 t CO2e in un anno; Prova tu: cambia i dati di Aurora. — 4 slide</w:t>
      </w:r>
    </w:p>
    <w:p>
      <w:pPr>
        <w:pStyle w:val="ListBullet"/>
        <w:spacing w:after="20"/>
      </w:pPr>
      <w:r>
        <w:rPr>
          <w:sz w:val="18"/>
        </w:rPr>
        <w:t xml:space="preserve">Gli errori tipici del conteggio: I cinque errori più frequenti; Trova l’errore: quattro calcoli da correggere; Trova l’errore: la bolletta in MWh; La correzione: prima i kWh, poi il fattore; Terrafelix: una ricarica da 27.000 tonnellate?. — 3 slide</w:t>
      </w:r>
    </w:p>
    <w:p>
      <w:pPr>
        <w:pStyle w:val="ListBullet"/>
        <w:spacing w:after="20"/>
      </w:pPr>
      <w:r>
        <w:rPr>
          <w:sz w:val="18"/>
        </w:rPr>
        <w:t xml:space="preserve">Documentare il calcolo: La catena della tracciabilità: dal documento al risultato; Un foglio di calcolo ben fatto: quattro fogli, un solo file; Il modello di riga: che cosa registrare per ogni voce; Terrafelix: il registro delle ipotesi di Davide Russo. — 2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Il formulario dell’unità; Il ciclo di ogni riga di calcolo; Autovalutazione: prima di considerare chiuso un calcolo; I punti chiave dell’unità. Verso il checkpoint. — 2 slide</w:t>
      </w:r>
    </w:p>
    <w:p>
      <w:pPr>
        <w:spacing w:before="160"/>
      </w:pPr>
      <w:r>
        <w:rPr>
          <w:b/>
          <w:sz w:val="20"/>
        </w:rPr>
        <w:t xml:space="preserve">M3 — Impostare l’inventario di organizzazione: confini, scope e categorie   (122 minuti · 27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Che cos’è un inventario GHG: Dalla formula all’inventario: che cosa cambia; I cinque principi dell’inventario; Le fasi di un inventario: dove siamo. — 2 slide</w:t>
      </w:r>
    </w:p>
    <w:p>
      <w:pPr>
        <w:pStyle w:val="ListBullet"/>
        <w:spacing w:after="20"/>
      </w:pPr>
      <w:r>
        <w:rPr>
          <w:sz w:val="18"/>
        </w:rPr>
        <w:t xml:space="preserve">I confini organizzativi: Tre modi di tracciare il confine organizzativo; Un gruppo di esempio: capogruppo e due partecipate; Consolidare con la quota di partecipazione; Lo stesso gruppo consolidato con il controllo; Terrafelix sceglie il controllo operativo. — 3 slide</w:t>
      </w:r>
    </w:p>
    <w:p>
      <w:pPr>
        <w:pStyle w:val="ListBullet"/>
        <w:spacing w:after="20"/>
      </w:pPr>
      <w:r>
        <w:rPr>
          <w:sz w:val="18"/>
        </w:rPr>
        <w:t xml:space="preserve">I confini di reporting: Emissioni dirette e indirette: la prima divisione; Possedere e gestire: quattro situazioni; Diretta o indiretta? Tre domande in fila; Il censimento di sedi e beni di Terrafelix. — 2 slide</w:t>
      </w:r>
    </w:p>
    <w:p>
      <w:pPr>
        <w:pStyle w:val="ListBullet"/>
        <w:spacing w:after="20"/>
      </w:pPr>
      <w:r>
        <w:rPr>
          <w:sz w:val="18"/>
        </w:rPr>
        <w:t xml:space="preserve">Gli scope del GHG Protocol: La catena del valore: dove sta ogni scope; Scope 1: quattro tipi di sorgente; Scope 3 a monte: le categorie da 1 a 8; Scope 3 a valle: le categorie da 9 a 15; I tre scope di Terrafelix: dove sta l’impronta. — 2 slide</w:t>
      </w:r>
    </w:p>
    <w:p>
      <w:pPr>
        <w:pStyle w:val="ListBullet"/>
        <w:spacing w:after="20"/>
      </w:pPr>
      <w:r>
        <w:rPr>
          <w:sz w:val="18"/>
        </w:rPr>
        <w:t xml:space="preserve">Le sei categorie ISO 14064-1: Le sei categorie, in una figura; Tradurre gli scope in categorie ISO; La categoria 3 ISO di Terrafelix: tutto il trasporto insieme; L’inventario di Terrafelix letto per categorie ISO; Scope o categorie ISO: quale usare. — 2 slide</w:t>
      </w:r>
    </w:p>
    <w:p>
      <w:pPr>
        <w:pStyle w:val="ListBullet"/>
        <w:spacing w:after="20"/>
      </w:pPr>
      <w:r>
        <w:rPr>
          <w:sz w:val="18"/>
        </w:rPr>
        <w:t xml:space="preserve">Classificare le sorgenti: esercizi: Quattro domande per classificare qualunque sorgente; Esercizio 1: sorgenti dirette ed energia; Esercizio 2: sorgenti indirette lungo la catena del valore; Una bolletta, due caselle: il gas naturale di Terrafelix; Quattro casi dubbi, quattro risposte; Chi paga il trasporto? La domanda di Michele Santoro. — 3 slide</w:t>
      </w:r>
    </w:p>
    <w:p>
      <w:pPr>
        <w:pStyle w:val="ListBullet"/>
        <w:spacing w:after="20"/>
      </w:pPr>
      <w:r>
        <w:rPr>
          <w:sz w:val="18"/>
        </w:rPr>
        <w:t xml:space="preserve">La significatività delle emissioni indirette: I criteri per decidere che cosa è significativo; Una matrice per le categorie indirette di Terrafelix; Quanto pesa ogni categoria indiretta di Terrafelix; L’esito: che cosa quantifica e che cosa esclude Terrafelix. — 2 slide</w:t>
      </w:r>
    </w:p>
    <w:p>
      <w:pPr>
        <w:pStyle w:val="ListBullet"/>
        <w:spacing w:after="20"/>
      </w:pPr>
      <w:r>
        <w:rPr>
          <w:sz w:val="18"/>
        </w:rPr>
        <w:t xml:space="preserve">L’anno base: A che cosa serve l’anno base e come si sceglie; Quando si ricalcola l’anno base, e quando no; Verifica della soglia: un’acquisizione che aggiunge 1.300 t; Prova tu: da quante tonnellate scatta il ricalcolo?; Perché ricalcolare: lo stesso 2027 letto in due modi; La politica di ricalcolo di Terrafelix. — 3 slide</w:t>
      </w:r>
    </w:p>
    <w:p>
      <w:pPr>
        <w:pStyle w:val="ListBullet"/>
        <w:spacing w:after="20"/>
      </w:pPr>
      <w:r>
        <w:rPr>
          <w:sz w:val="18"/>
        </w:rPr>
        <w:t xml:space="preserve">Emissioni biogeniche e rimozioni: Due voci che si riportano a parte; Esempio: come si tratta una caldaia a cippato; Il fotovoltaico di Terrafelix: che cosa entra nell’inventario; «Togliamo il fotovoltaico e gli alberi dal totale?». — 2 slide</w:t>
      </w:r>
    </w:p>
    <w:p>
      <w:pPr>
        <w:pStyle w:val="ListBullet"/>
        <w:spacing w:after="20"/>
      </w:pPr>
      <w:r>
        <w:rPr>
          <w:sz w:val="18"/>
        </w:rPr>
        <w:t xml:space="preserve">Il piano di raccolta dei dati: Il gruppo di lavoro di Terrafelix; Chi fornisce che cosa: il piano dei dati; Il calendario del progetto: dodici mesi del 2026. — 2 slide</w:t>
      </w:r>
    </w:p>
    <w:p>
      <w:pPr>
        <w:pStyle w:val="ListBullet"/>
        <w:spacing w:after="20"/>
      </w:pPr>
      <w:r>
        <w:rPr>
          <w:sz w:val="18"/>
        </w:rPr>
        <w:t xml:space="preserve">Il documento di impostazione dell’inventario: Che cosa contiene il documento di impostazione; Le decisioni di gennaio: l’impostazione di Terrafelix; Prova tu: quanto pesa ogni scope di Terrafelix. — 2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Le decisioni dell’impostazione, in ordine; Un’impostazione che si riesamina ogni anno; Impostazione: corretto e sbagliato; Autovalutazione: sono pronto a passare ai calcoli?; I punti chiave dell’unità. Verso il checkpoint. — 2 slide</w:t>
      </w:r>
    </w:p>
    <w:p>
      <w:pPr>
        <w:spacing w:before="160"/>
      </w:pPr>
      <w:r>
        <w:rPr>
          <w:b/>
          <w:sz w:val="20"/>
        </w:rPr>
        <w:t xml:space="preserve">M4 — Calcolare le emissioni dirette (Scope 1)   (183 minuti · 41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Le quattro famiglie dello Scope 1: Scope 1: quattro famiglie di sorgenti; La mappa delle sorgenti dirette di Terrafelix; I cinque passi di ogni calcolo dello Scope 1; Il sopralluogo: cercare le sorgenti dove sono davvero. — 3 slide</w:t>
      </w:r>
    </w:p>
    <w:p>
      <w:pPr>
        <w:pStyle w:val="ListBullet"/>
        <w:spacing w:after="20"/>
      </w:pPr>
      <w:r>
        <w:rPr>
          <w:sz w:val="18"/>
        </w:rPr>
        <w:t xml:space="preserve">Combustione stazionaria: il gas naturale: Dalla bolletta al risultato; Leggere la bolletta del gas; Terrafelix: i consumi mensili di gas naturale nel 2025; Terrafelix: il gas naturale di un anno, trimestre per trimestre; Quanto pesa la scelta del fattore: il valore ISPRA; Gas naturale: corretto e sbagliato. — 5 slide</w:t>
      </w:r>
    </w:p>
    <w:p>
      <w:pPr>
        <w:pStyle w:val="ListBullet"/>
        <w:spacing w:after="20"/>
      </w:pPr>
      <w:r>
        <w:rPr>
          <w:sz w:val="18"/>
        </w:rPr>
        <w:t xml:space="preserve">Altri combustibili fissi: Combustibili fissi: unità, fattori e trappole; Terrafelix: il gasolio del gruppo elettrogeno e della motopompa; GPL fatturato in chilogrammi: prima i litri, poi le emissioni; Biomassa: che cosa entra nello Scope 1 e che cosa va a parte; Prova tu: tre combustibili in una centrale termica. — 4 slide</w:t>
      </w:r>
    </w:p>
    <w:p>
      <w:pPr>
        <w:pStyle w:val="ListBullet"/>
        <w:spacing w:after="20"/>
      </w:pPr>
      <w:r>
        <w:rPr>
          <w:sz w:val="18"/>
        </w:rPr>
        <w:t xml:space="preserve">Combustione mobile: partire dai litri: Dove si trovano i litri; Terrafelix: gasolio e benzina della flotta aziendale; Chi consuma di più: i litri per veicolo; Le carte carburante di Chiara Vitale. — 3 slide</w:t>
      </w:r>
    </w:p>
    <w:p>
      <w:pPr>
        <w:pStyle w:val="ListBullet"/>
        <w:spacing w:after="20"/>
      </w:pPr>
      <w:r>
        <w:rPr>
          <w:sz w:val="18"/>
        </w:rPr>
        <w:t xml:space="preserve">Combustione mobile: partire dai chilometri: Metodo A: chilometri × fattore per chilometro; Metodo B: chilometri × consumo medio × fattore per litro; Tre metodi, la stessa auto: quanto cambia il risultato; La scala di preferenza dei metodi per i veicoli; Di chi è il veicolo, che cosa lo muove: dove vanno le emissioni. — 4 slide</w:t>
      </w:r>
    </w:p>
    <w:p>
      <w:pPr>
        <w:pStyle w:val="ListBullet"/>
        <w:spacing w:after="20"/>
      </w:pPr>
      <w:r>
        <w:rPr>
          <w:sz w:val="18"/>
        </w:rPr>
        <w:t xml:space="preserve">Emissioni fuggitive: i gas refrigeranti: Perché pochi chili contano tanto: il GWP dei refrigeranti; Il metodo delle ricariche: dal rapporto del frigorista al risultato; Terrafelix: le ricariche di gas refrigerante del 2025; Venti chili di gas: un confronto per ricordare; Prova tu: quanto pesa una ricarica; Gas refrigeranti: corretto e sbagliato. — 4 slide</w:t>
      </w:r>
    </w:p>
    <w:p>
      <w:pPr>
        <w:pStyle w:val="ListBullet"/>
        <w:spacing w:after="20"/>
      </w:pPr>
      <w:r>
        <w:rPr>
          <w:sz w:val="18"/>
        </w:rPr>
        <w:t xml:space="preserve">Altre fuggitive e gas particolari: Quattro sorgenti fuggitive da conoscere; Tre gas, tre pesi: SF6, CO2 degli estintori, metano; Quando mancano i rapporti: il bilancio di massa. — 2 slide</w:t>
      </w:r>
    </w:p>
    <w:p>
      <w:pPr>
        <w:pStyle w:val="ListBullet"/>
        <w:spacing w:after="20"/>
      </w:pPr>
      <w:r>
        <w:rPr>
          <w:sz w:val="18"/>
        </w:rPr>
        <w:t xml:space="preserve">Emissioni di processo: Dove nasce la CO2 di processo; Una fornace da calce: processo e combustione a confronto; Combustione e processo: due conti distinti; Terrafelix: come si documenta un’assenza. — 3 slide</w:t>
      </w:r>
    </w:p>
    <w:p>
      <w:pPr>
        <w:pStyle w:val="ListBullet"/>
        <w:spacing w:after="20"/>
      </w:pPr>
      <w:r>
        <w:rPr>
          <w:sz w:val="18"/>
        </w:rPr>
        <w:t xml:space="preserve">Mettere insieme lo Scope 1 di Terrafelix: Lo Scope 1 di Terrafelix: sei voci, un totale; La composizione per famiglia di sorgenti; Tre modi di leggere lo stesso totale; Prova tu: «e se…» sullo Scope 1 di Terrafelix; Dieci minuti con la direzione. — 4 slide</w:t>
      </w:r>
    </w:p>
    <w:p>
      <w:pPr>
        <w:pStyle w:val="ListBullet"/>
        <w:spacing w:after="20"/>
      </w:pPr>
      <w:r>
        <w:rPr>
          <w:sz w:val="18"/>
        </w:rPr>
        <w:t xml:space="preserve">Qualità dei dati e controlli: Da dove arriva la fiducia in un dato; Un indicatore di plausibilità: kWh termici per tonnellata di pasta; Quando la scheda riporta solo gli euro; I controlli prima di chiudere lo Scope 1; Il gas che non tornava: la riconciliazione di Chiara Vitale. — 4 slide</w:t>
      </w:r>
    </w:p>
    <w:p>
      <w:pPr>
        <w:pStyle w:val="ListBullet"/>
        <w:spacing w:after="20"/>
      </w:pPr>
      <w:r>
        <w:rPr>
          <w:sz w:val="18"/>
        </w:rPr>
        <w:t xml:space="preserve">Casi particolari ed esercizio riepilogativo: Sei casi che fanno discutere; Esercizio: lo Scope 1 di un’officina meccanica; Officina Volturno: la composizione dello Scope 1. — 2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Il formulario dello Scope 1; Autovalutazione: so calcolare uno Scope 1?; Scope 1: gli errori da non ripetere; I punti chiave dell’unità. Verso il checkpoint. — 3 slide</w:t>
      </w:r>
    </w:p>
    <w:p>
      <w:pPr>
        <w:spacing w:before="160"/>
      </w:pPr>
      <w:r>
        <w:rPr>
          <w:b/>
          <w:sz w:val="20"/>
        </w:rPr>
        <w:t xml:space="preserve">M5 — Calcolare le emissioni da energia acquistata (Scope 2)   (152 minuti · 34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Che cos’è lo Scope 2: Energia comprata, emissioni di qualcun altro; Dalla centrale al contatore: dove nascono le emissioni; Terrafelix: i quattro numeri dell’unità. — 2 slide</w:t>
      </w:r>
    </w:p>
    <w:p>
      <w:pPr>
        <w:pStyle w:val="ListBullet"/>
        <w:spacing w:after="20"/>
      </w:pPr>
      <w:r>
        <w:rPr>
          <w:sz w:val="18"/>
        </w:rPr>
        <w:t xml:space="preserve">Leggere la bolletta elettrica: Che cosa c’è in bolletta e che cosa serve al calcolo; Chiara Vitale mette in fila le dodici bollette; I prelievi mensili di Terrafelix nel 2025; Dalla somma dei trimestri al totale annuo. — 3 slide</w:t>
      </w:r>
    </w:p>
    <w:p>
      <w:pPr>
        <w:pStyle w:val="ListBullet"/>
        <w:spacing w:after="20"/>
      </w:pPr>
      <w:r>
        <w:rPr>
          <w:sz w:val="18"/>
        </w:rPr>
        <w:t xml:space="preserve">Il metodo location-based: Lo Scope 2 location-based di Terrafelix; Il fattore della rete italiana scende di anno in anno; Stessi kWh, fattore diverso: il risultato cambia; Prova tu: il location-based di una piccola azienda con tre sedi. — 3 slide</w:t>
      </w:r>
    </w:p>
    <w:p>
      <w:pPr>
        <w:pStyle w:val="ListBullet"/>
        <w:spacing w:after="20"/>
      </w:pPr>
      <w:r>
        <w:rPr>
          <w:sz w:val="18"/>
        </w:rPr>
        <w:t xml:space="preserve">Il metodo market-based: Le quattro parole del metodo market-based; Quale fattore uso? La scala delle scelte per ogni kWh; Fattori a confronto: perché il residual mix è così alto; Esempio svolto: una bolletta, tre contratti, tre fattori. — 3 slide</w:t>
      </w:r>
    </w:p>
    <w:p>
      <w:pPr>
        <w:pStyle w:val="ListBullet"/>
        <w:spacing w:after="20"/>
      </w:pPr>
      <w:r>
        <w:rPr>
          <w:sz w:val="18"/>
        </w:rPr>
        <w:t xml:space="preserve">Il calcolo market-based di Terrafelix: Il contratto elettrico di Terrafelix: verde solo in parte; Lo Scope 2 market-based di Terrafelix; Perché 900 è più di 752: il ragionamento in quattro passi; E se Terrafelix non avesse nessuna garanzia?; Location-based e market-based al variare della quota di garanzie. — 3 slide</w:t>
      </w:r>
    </w:p>
    <w:p>
      <w:pPr>
        <w:pStyle w:val="ListBullet"/>
        <w:spacing w:after="20"/>
      </w:pPr>
      <w:r>
        <w:rPr>
          <w:sz w:val="18"/>
        </w:rPr>
        <w:t xml:space="preserve">La doppia rendicontazione: Chi chiede che cosa; Come si scrive nel rapporto: due righe, due totali; Doppia rendicontazione: corretto e sbagliato; Prova tu: sposta i kWh dal residual mix alle garanzie; «Usiamo energia 100% verde»: la frase da correggere. — 3 slide</w:t>
      </w:r>
    </w:p>
    <w:p>
      <w:pPr>
        <w:pStyle w:val="ListBullet"/>
        <w:spacing w:after="20"/>
      </w:pPr>
      <w:r>
        <w:rPr>
          <w:sz w:val="18"/>
        </w:rPr>
        <w:t xml:space="preserve">L’elettricità autoprodotta: Dove va l’energia del fotovoltaico e come si conta; Da dove viene l’elettricità consumata da Terrafelix; Quanto ha evitato il fotovoltaico: un’informazione a parte; Fotovoltaico: come si conta e come non si conta; «Togliamo le 141 tonnellate del fotovoltaico?». — 3 slide</w:t>
      </w:r>
    </w:p>
    <w:p>
      <w:pPr>
        <w:pStyle w:val="ListBullet"/>
        <w:spacing w:after="20"/>
      </w:pPr>
      <w:r>
        <w:rPr>
          <w:sz w:val="18"/>
        </w:rPr>
        <w:t xml:space="preserve">Calore, vapore e raffrescamento acquistati: Come si contano calore e vapore comprati; Esempio svolto: un’azienda allacciata al teleriscaldamento; Vapore fatturato in gigajoule: prima convertire, poi moltiplicare; Quando il fornitore non comunica il fattore: la stima; Prova tu: lo Scope 2 di un’azienda con due vettori energetici. — 3 slide</w:t>
      </w:r>
    </w:p>
    <w:p>
      <w:pPr>
        <w:pStyle w:val="ListBullet"/>
        <w:spacing w:after="20"/>
      </w:pPr>
      <w:r>
        <w:rPr>
          <w:sz w:val="18"/>
        </w:rPr>
        <w:t xml:space="preserve">Veicoli elettrici e ricariche: Dove si ricarica e di chi è il veicolo: quattro casi; Auto elettrica aziendale ricaricata fuori sede: dai km ai kg; 15.000 km: quanto pesa la stessa percorrenza; I carrelli elevatori elettrici: una riga di troppo. — 3 slide</w:t>
      </w:r>
    </w:p>
    <w:p>
      <w:pPr>
        <w:pStyle w:val="ListBullet"/>
        <w:spacing w:after="20"/>
      </w:pPr>
      <w:r>
        <w:rPr>
          <w:sz w:val="18"/>
        </w:rPr>
        <w:t xml:space="preserve">Che cosa non è Scope 2: Sei voci «di confine» e il loro posto nell’inventario; Filiera a monte e perdite di rete: Scope 3, non Scope 2; Ufficio in affitto: stimare la propria quota di kWh; Acquistata? Consumata? La mappa per decidere. — 2 slide</w:t>
      </w:r>
    </w:p>
    <w:p>
      <w:pPr>
        <w:pStyle w:val="ListBullet"/>
        <w:spacing w:after="20"/>
      </w:pPr>
      <w:r>
        <w:rPr>
          <w:sz w:val="18"/>
        </w:rPr>
        <w:t xml:space="preserve">Indicatori e leve: Gli indicatori elettrici di Terrafelix; L’intensità dello Scope 2 per tonnellata di pasta; Quattro leve, due effetti: location-based e market-based; Scenario efficienza: il market-based con il 10% di prelievi in meno; La banca chiede il dato market-based. — 3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Il formulario dello Scope 2; Lo Scope 2 in sei passi; Lista di controllo prima di chiudere lo Scope 2; Gli errori tipici dello Scope 2; I punti chiave dell’unità. Verso il checkpoint. — 3 slide</w:t>
      </w:r>
    </w:p>
    <w:p>
      <w:pPr>
        <w:spacing w:before="160"/>
      </w:pPr>
      <w:r>
        <w:rPr>
          <w:b/>
          <w:sz w:val="20"/>
        </w:rPr>
        <w:t xml:space="preserve">M6 — Calcolare le emissioni della catena del valore (Scope 3)   (183 minuti · 41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Perché lo Scope 3 conta: Terrafelix: dove sono le emissioni; La catena del valore: a monte, in azienda, a valle; Le stesse emissioni nelle categorie ISO 14064-1. — 2 slide</w:t>
      </w:r>
    </w:p>
    <w:p>
      <w:pPr>
        <w:pStyle w:val="ListBullet"/>
        <w:spacing w:after="20"/>
      </w:pPr>
      <w:r>
        <w:rPr>
          <w:sz w:val="18"/>
        </w:rPr>
        <w:t xml:space="preserve">I quattro metodi di calcolo: Dal più preciso al più rapido; Quale dato serve per ciascun metodo; Stesso acquisto, primo metodo: dalla quantità; Stesso acquisto, secondo metodo: dalla spesa; Terrafelix sceglie un metodo per ogni voce. — 4 slide</w:t>
      </w:r>
    </w:p>
    <w:p>
      <w:pPr>
        <w:pStyle w:val="ListBullet"/>
        <w:spacing w:after="20"/>
      </w:pPr>
      <w:r>
        <w:rPr>
          <w:sz w:val="18"/>
        </w:rPr>
        <w:t xml:space="preserve">Screening e priorità: Lo screening in cinque passi; Lo Scope 3 di Terrafelix per categoria; Entità e influenza: la matrice delle priorità; Le categorie che Terrafelix non quantifica nel totale. — 3 slide</w:t>
      </w:r>
    </w:p>
    <w:p>
      <w:pPr>
        <w:pStyle w:val="ListBullet"/>
        <w:spacing w:after="20"/>
      </w:pPr>
      <w:r>
        <w:rPr>
          <w:sz w:val="18"/>
        </w:rPr>
        <w:t xml:space="preserve">Categoria 1: beni e servizi acquistati: La semola: la voce più grande dell’inventario; Imballaggi e acqua: tre righe, tre fattori; Categoria 1: chi pesa di più; Dato medio o dato del fornitore?; Michele Santoro scrive al molino. — 4 slide</w:t>
      </w:r>
    </w:p>
    <w:p>
      <w:pPr>
        <w:pStyle w:val="ListBullet"/>
        <w:spacing w:after="20"/>
      </w:pPr>
      <w:r>
        <w:rPr>
          <w:sz w:val="18"/>
        </w:rPr>
        <w:t xml:space="preserve">Categorie 2 e 3: beni strumentali ed energia a monte: Categoria 2: i beni strumentali; La nuova linea di confezionamento; Categoria 3: che cosa c’è «a monte» dell’energia; La filiera a monte di gas, carburanti ed elettricità. — 3 slide</w:t>
      </w:r>
    </w:p>
    <w:p>
      <w:pPr>
        <w:pStyle w:val="ListBullet"/>
        <w:spacing w:after="20"/>
      </w:pPr>
      <w:r>
        <w:rPr>
          <w:sz w:val="18"/>
        </w:rPr>
        <w:t xml:space="preserve">Categorie 4 e 9: i trasporti: La tonnellata-chilometro, spiegata semplice; Primo conto: un bancale consegnato a 250 km; Quanto emette ogni mezzo per portare 1 tonnellata per 1 km; Categoria 4: il trasporto di semola e imballaggi; Categoria 9: la distribuzione della pasta; A monte o a valle? Dipende da chi compra il trasporto; Prova tu: stesso carico, mezzi diversi; Trasporti: gli errori che cambiano il risultato. — 6 slide</w:t>
      </w:r>
    </w:p>
    <w:p>
      <w:pPr>
        <w:pStyle w:val="ListBullet"/>
        <w:spacing w:after="20"/>
      </w:pPr>
      <w:r>
        <w:rPr>
          <w:sz w:val="18"/>
        </w:rPr>
        <w:t xml:space="preserve">Categoria 5: rifiuti generati dalle attività: Dal registro dei rifiuti al calcolo; I rifiuti di Terrafelix: recupero e smaltimento; Prova tu: che cosa succede migliorando la raccolta. — 2 slide</w:t>
      </w:r>
    </w:p>
    <w:p>
      <w:pPr>
        <w:pStyle w:val="ListBullet"/>
        <w:spacing w:after="20"/>
      </w:pPr>
      <w:r>
        <w:rPr>
          <w:sz w:val="18"/>
        </w:rPr>
        <w:t xml:space="preserve">Categoria 6: viaggi di lavoro: Il passeggero-chilometro, spiegato semplice; Due persone da Napoli a Milano e ritorno: in aereo; La stessa trasferta in treno; I viaggi di lavoro di Terrafelix in un anno. — 3 slide</w:t>
      </w:r>
    </w:p>
    <w:p>
      <w:pPr>
        <w:pStyle w:val="ListBullet"/>
        <w:spacing w:after="20"/>
      </w:pPr>
      <w:r>
        <w:rPr>
          <w:sz w:val="18"/>
        </w:rPr>
        <w:t xml:space="preserve">Categoria 7: pendolarismo dei dipendenti: Il questionario sul pendolarismo di Terrafelix; Primo passo: quanti chilometri in un anno; Secondo passo: dai chilometri alle emissioni; Prova tu: se cambiano le abitudini di viaggio. — 3 slide</w:t>
      </w:r>
    </w:p>
    <w:p>
      <w:pPr>
        <w:pStyle w:val="ListBullet"/>
        <w:spacing w:after="20"/>
      </w:pPr>
      <w:r>
        <w:rPr>
          <w:sz w:val="18"/>
        </w:rPr>
        <w:t xml:space="preserve">Categorie 11 e 12: uso e fine vita dei prodotti venduti: Categoria 11: emissioni dirette e indirette della fase d’uso; La cottura della pasta venduta; Perché la fase d’uso si riporta a parte; Categoria 12: il fine vita degli imballaggi venduti; Il cliente chiede: «E la cottura?». — 4 slide</w:t>
      </w:r>
    </w:p>
    <w:p>
      <w:pPr>
        <w:pStyle w:val="ListBullet"/>
        <w:spacing w:after="20"/>
      </w:pPr>
      <w:r>
        <w:rPr>
          <w:sz w:val="18"/>
        </w:rPr>
        <w:t xml:space="preserve">Il quadro completo dello Scope 3 di Terrafelix: Lo Scope 3 di Terrafelix: il riepilogo per categoria; Che cosa pesa davvero nello Scope 3; Ogni categoria ha il suo dato e il suo proprietario; Doppio conteggio: quando è normale e quando è un errore; Davide Russo presenta lo Scope 3 alla direzione. — 4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Il formulario dello Scope 3; Lista di controllo prima di chiudere lo Scope 3; Gli errori tipici dello Scope 3, in quattro famiglie; I punti chiave dell’unità. Verso il checkpoint. — 3 slide</w:t>
      </w:r>
    </w:p>
    <w:p>
      <w:pPr>
        <w:spacing w:before="160"/>
      </w:pPr>
      <w:r>
        <w:rPr>
          <w:b/>
          <w:sz w:val="20"/>
        </w:rPr>
        <w:t xml:space="preserve">M7 — Dai calcoli al rapporto: consolidare, valutare l’incertezza, verificare   (122 minuti · 27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Consolidare l’inventario: Dal foglio di calcolo al quadro di sintesi; Il totale dell’inventario 2025 di Terrafelix; Dove sono le emissioni: i tre scope; Lo stesso inventario in due classificazioni; Controllo di quadratura: la somma per categoria ISO; Che cosa entra nel totale e che cosa si riporta a parte. — 3 slide</w:t>
      </w:r>
    </w:p>
    <w:p>
      <w:pPr>
        <w:pStyle w:val="ListBullet"/>
        <w:spacing w:after="20"/>
      </w:pPr>
      <w:r>
        <w:rPr>
          <w:sz w:val="18"/>
        </w:rPr>
        <w:t xml:space="preserve">Leggere i risultati: Le sorgenti maggiori di Terrafelix; Poche voci fanno quasi tutto il totale; I numeri da ricordare; Che cosa dire alla direzione. — 2 slide</w:t>
      </w:r>
    </w:p>
    <w:p>
      <w:pPr>
        <w:pStyle w:val="ListBullet"/>
        <w:spacing w:after="20"/>
      </w:pPr>
      <w:r>
        <w:rPr>
          <w:sz w:val="18"/>
        </w:rPr>
        <w:t xml:space="preserve">Gli indicatori di intensità: Assoluto e intensità: due letture dello stesso inventario; Scope 1+2 per tonnellata di pasta; Totale dell’inventario per chilo di pasta; Quale indicatore, per chi, con quali cautele. — 2 slide</w:t>
      </w:r>
    </w:p>
    <w:p>
      <w:pPr>
        <w:pStyle w:val="ListBullet"/>
        <w:spacing w:after="20"/>
      </w:pPr>
      <w:r>
        <w:rPr>
          <w:sz w:val="18"/>
        </w:rPr>
        <w:t xml:space="preserve">L’incertezza in parole semplici: Da dove nasce l’incertezza di una voce; Una scala a tre livelli (modello didattico); Combinare dato e fattore: il gas naturale; Combinare dato e fattore: la semola; L’incertezza in tonnellate: dove pesa davvero; Entità e incertezza: la mappa delle priorità. — 3 slide</w:t>
      </w:r>
    </w:p>
    <w:p>
      <w:pPr>
        <w:pStyle w:val="ListBullet"/>
        <w:spacing w:after="20"/>
      </w:pPr>
      <w:r>
        <w:rPr>
          <w:sz w:val="18"/>
        </w:rPr>
        <w:t xml:space="preserve">Migliorare la qualità dei dati: Il profilo di qualità dei dati di Terrafelix; Quanto vale un fattore migliore per la semola; Gli obiettivi del piano dati per l’inventario 2026; Le priorità del piano dati 2026. — 2 slide</w:t>
      </w:r>
    </w:p>
    <w:p>
      <w:pPr>
        <w:pStyle w:val="ListBullet"/>
        <w:spacing w:after="20"/>
      </w:pPr>
      <w:r>
        <w:rPr>
          <w:sz w:val="18"/>
        </w:rPr>
        <w:t xml:space="preserve">Controlli interni prima di chiudere: Quattro controlli prima di chiudere; La lista di controllo di chiusura; Quanto pesa una fattura di gasolio contata due volte; Un errore intercettato prima della chiusura. — 2 slide</w:t>
      </w:r>
    </w:p>
    <w:p>
      <w:pPr>
        <w:pStyle w:val="ListBullet"/>
        <w:spacing w:after="20"/>
      </w:pPr>
      <w:r>
        <w:rPr>
          <w:sz w:val="18"/>
        </w:rPr>
        <w:t xml:space="preserve">Anno base e confronto nel tempo: L’anno base e la politica di ricalcolo; Serve ricalcolare l’anno base? Un esempio svolto; Stesso consumo, fattore diverso: l’effetto sul risultato; Effetto attività ed effetto fattore a confronto; Prova tu: quanta riduzione è merito dell’azienda?. — 3 slide</w:t>
      </w:r>
    </w:p>
    <w:p>
      <w:pPr>
        <w:pStyle w:val="ListBullet"/>
        <w:spacing w:after="20"/>
      </w:pPr>
      <w:r>
        <w:rPr>
          <w:sz w:val="18"/>
        </w:rPr>
        <w:t xml:space="preserve">Il rapporto GHG: Che cosa deve indicare il rapporto GHG; Un indice consigliato per il rapporto; La tabella delle emissioni dirette per gas; Chi legge il rapporto e che cosa cerca. — 2 slide</w:t>
      </w:r>
    </w:p>
    <w:p>
      <w:pPr>
        <w:pStyle w:val="ListBullet"/>
        <w:spacing w:after="20"/>
      </w:pPr>
      <w:r>
        <w:rPr>
          <w:sz w:val="18"/>
        </w:rPr>
        <w:t xml:space="preserve">Scrivere bene: la trasparenza: Scrivere il rapporto: corretto e sbagliato; Le quattro cose da dichiarare sempre; Un estratto del rapporto GHG di Terrafelix. — 2 slide</w:t>
      </w:r>
    </w:p>
    <w:p>
      <w:pPr>
        <w:pStyle w:val="ListBullet"/>
        <w:spacing w:after="20"/>
      </w:pPr>
      <w:r>
        <w:rPr>
          <w:sz w:val="18"/>
        </w:rPr>
        <w:t xml:space="preserve">La verifica di terza parte: Le parole della verifica; Garanzia limitata e garanzia ragionevole; Le fasi tipiche di una verifica; Chi fa che cosa nella verifica; Luglio 2026: la verifica di Terrafelix. — 2 slide</w:t>
      </w:r>
    </w:p>
    <w:p>
      <w:pPr>
        <w:pStyle w:val="ListBullet"/>
        <w:spacing w:after="20"/>
      </w:pPr>
      <w:r>
        <w:rPr>
          <w:sz w:val="18"/>
        </w:rPr>
        <w:t xml:space="preserve">Prepararsi alla verifica: il caso: Il fascicolo delle evidenze; Dove guarda il verificatore: i rischi di errore; Prova tu: quanto sposta il totale un errore del 10%; L’esito della verifica di luglio. — 2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Autovalutazione: che cosa devi saper fare; Gli errori tipici della fase finale; Il ciclo annuale dell’inventario; I punti chiave dell’unità. Verso il checkpoint. — 2 slide</w:t>
      </w:r>
    </w:p>
    <w:p>
      <w:pPr>
        <w:spacing w:before="160"/>
      </w:pPr>
      <w:r>
        <w:rPr>
          <w:b/>
          <w:sz w:val="20"/>
        </w:rPr>
        <w:t xml:space="preserve">M8 — La carbon footprint di prodotto (ISO 14067)   (183 minuti · 41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Dall’organizzazione al prodotto: Due oggetti, due conti; Il conto rapido: l’inventario diviso per la produzione; Perché il conto rapido non basta; ISO 14067: le quattro fasi dello studio. — 3 slide</w:t>
      </w:r>
    </w:p>
    <w:p>
      <w:pPr>
        <w:pStyle w:val="ListBullet"/>
        <w:spacing w:after="20"/>
      </w:pPr>
      <w:r>
        <w:rPr>
          <w:sz w:val="18"/>
        </w:rPr>
        <w:t xml:space="preserve">Il ciclo di vita: Le sei fasi del ciclo di vita della pasta; Fino al cancello o fino alla tomba?; Anteprima: i numeri che calcoleremo. — 2 slide</w:t>
      </w:r>
    </w:p>
    <w:p>
      <w:pPr>
        <w:pStyle w:val="ListBullet"/>
        <w:spacing w:after="20"/>
      </w:pPr>
      <w:r>
        <w:rPr>
          <w:sz w:val="18"/>
        </w:rPr>
        <w:t xml:space="preserve">Obiettivo, unità funzionale, confine del sistema: Le parole dell’impostazione; L’unità funzionale dipende dalla funzione; Esempio: per litro perde, per metro quadrato vince; La mappa dei processi: dentro e fuori dal confine; Terrafelix imposta lo studio; Il cut-off con i numeri: quanto pesano le voci escluse. — 5 slide</w:t>
      </w:r>
    </w:p>
    <w:p>
      <w:pPr>
        <w:pStyle w:val="ListBullet"/>
        <w:spacing w:after="20"/>
      </w:pPr>
      <w:r>
        <w:rPr>
          <w:sz w:val="18"/>
        </w:rPr>
        <w:t xml:space="preserve">I dati per unità di prodotto: Dal dato annuo al contributo per kg: quattro passi; Quanto gas serve per 1 kg di pasta; I dati di attività per 1 kg di pasta; Dati primari e dati secondari nel caso della pasta; Quale produzione mettere al denominatore?. — 4 slide</w:t>
      </w:r>
    </w:p>
    <w:p>
      <w:pPr>
        <w:pStyle w:val="ListBullet"/>
        <w:spacing w:after="20"/>
      </w:pPr>
      <w:r>
        <w:rPr>
          <w:sz w:val="18"/>
        </w:rPr>
        <w:t xml:space="preserve">L’allocazione: La gerarchia dell’allocazione; Semola e crusca: allocazione per massa; Semola e crusca: allocazione economica; Stesso molino, due criteri: il carico per chilo; Evitare l’allocazione: i contatori di linea. — 4 slide</w:t>
      </w:r>
    </w:p>
    <w:p>
      <w:pPr>
        <w:pStyle w:val="ListBullet"/>
        <w:spacing w:after="20"/>
      </w:pPr>
      <w:r>
        <w:rPr>
          <w:sz w:val="18"/>
        </w:rPr>
        <w:t xml:space="preserve">Fase 1 – Materie prime: Fase 1: semola e trasporto della semola; E se metà della semola avesse un fattore più basso?; Che cosa chiedere al molino. — 2 slide</w:t>
      </w:r>
    </w:p>
    <w:p>
      <w:pPr>
        <w:pStyle w:val="ListBullet"/>
        <w:spacing w:after="20"/>
      </w:pPr>
      <w:r>
        <w:rPr>
          <w:sz w:val="18"/>
        </w:rPr>
        <w:t xml:space="preserve">Fasi 2 e 3 – Produzione e imballaggio: Fase 2: l’energia dello stabilimento; Fase 3: l’imballaggio; Il primo traguardo: dalla culla al cancello; Dentro il cancello: di chi sono i 974 grammi; La risposta al cliente che chiede il dato «al cancello». — 4 slide</w:t>
      </w:r>
    </w:p>
    <w:p>
      <w:pPr>
        <w:pStyle w:val="ListBullet"/>
        <w:spacing w:after="20"/>
      </w:pPr>
      <w:r>
        <w:rPr>
          <w:sz w:val="18"/>
        </w:rPr>
        <w:t xml:space="preserve">Fasi 4, 5 e 6 – Distribuzione, uso, fine vita: Fase 4: la distribuzione ai mercati; Un chilo di pasta, tre destinazioni; Fase 5: la cottura a casa del consumatore; Prova tu: cambiare lo scenario di cottura; Fase 6: il fine vita dell’imballaggio. — 4 slide</w:t>
      </w:r>
    </w:p>
    <w:p>
      <w:pPr>
        <w:pStyle w:val="ListBullet"/>
        <w:spacing w:after="20"/>
      </w:pPr>
      <w:r>
        <w:rPr>
          <w:sz w:val="18"/>
        </w:rPr>
        <w:t xml:space="preserve">Il risultato e la sua lettura: La carbon footprint di 1 kg di pasta: la somma; Il peso di ogni fase; Le voci in ordine di peso; Prova tu: dalla confezione alla porzione; Controllo di coerenza: dall’inventario alla CFP; Leggere il risultato: peso e possibilità di intervento. — 4 slide</w:t>
      </w:r>
    </w:p>
    <w:p>
      <w:pPr>
        <w:pStyle w:val="ListBullet"/>
        <w:spacing w:after="20"/>
      </w:pPr>
      <w:r>
        <w:rPr>
          <w:sz w:val="18"/>
        </w:rPr>
        <w:t xml:space="preserve">Carbonio biogenico, uso del suolo e voci separate: Le voci che il rapporto di studio riporta a parte; Il carbonio biogenico del grano: un ciclo breve; Compensazione e carbon footprint di prodotto. — 2 slide</w:t>
      </w:r>
    </w:p>
    <w:p>
      <w:pPr>
        <w:pStyle w:val="ListBullet"/>
        <w:spacing w:after="20"/>
      </w:pPr>
      <w:r>
        <w:rPr>
          <w:sz w:val="18"/>
        </w:rPr>
        <w:t xml:space="preserve">Rapporto di studio, PCR, comunicazione: Il rapporto di studio della CFP: l’indice; Regole e strumenti attorno alla CFP; Confrontare due prodotti: quando si può; Riportare due dichiarazioni allo stesso confine; La scheda dati consegnata ai clienti. — 4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Il formulario della CFP; Prima di consegnare una CFP; Gli errori tipici della CFP; I punti chiave e l’unità 9. Verso il checkpoint. — 3 slide</w:t>
      </w:r>
    </w:p>
    <w:p>
      <w:pPr>
        <w:spacing w:before="160"/>
      </w:pPr>
      <w:r>
        <w:rPr>
          <w:b/>
          <w:sz w:val="20"/>
        </w:rPr>
        <w:t xml:space="preserve">M9 — Ridurre le emissioni: obiettivi e piano di decarbonizzazione   (122 minuti · 27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Dalla misura all’azione: Dove eravamo rimasti: i numeri di partenza di Terrafelix; La gerarchia di mitigazione: in che ordine si agisce; L’inventario come mappa: le nove voci più grandi; Il metodo in cinque passi per calcolare una leva. — 2 slide</w:t>
      </w:r>
    </w:p>
    <w:p>
      <w:pPr>
        <w:pStyle w:val="ListBullet"/>
        <w:spacing w:after="20"/>
      </w:pPr>
      <w:r>
        <w:rPr>
          <w:sz w:val="18"/>
        </w:rPr>
        <w:t xml:space="preserve">Gli obiettivi: Obiettivi assoluti e obiettivi di intensità; I riferimenti della Science Based Targets initiative, in breve; L’obiettivo assoluto: −42% di Scope 1+2 market-based; L’obiettivo di intensità: −25% di Scope 3 per kg di pasta; La traiettoria 2025–2030; La direzione approva gli obiettivi. — 3 slide</w:t>
      </w:r>
    </w:p>
    <w:p>
      <w:pPr>
        <w:pStyle w:val="ListBullet"/>
        <w:spacing w:after="20"/>
      </w:pPr>
      <w:r>
        <w:rPr>
          <w:sz w:val="18"/>
        </w:rPr>
        <w:t xml:space="preserve">Le leve sull’energia termica: Tre strade per ridurre le emissioni del calore; Leva 1 – Recupero di calore: quanto vale il 12% di gas in meno; Elettrificare il calore: il gas scende, l’elettricità sale; Come nasce il 12%: lo studio sugli essiccatoi. — 2 slide</w:t>
      </w:r>
    </w:p>
    <w:p>
      <w:pPr>
        <w:pStyle w:val="ListBullet"/>
        <w:spacing w:after="20"/>
      </w:pPr>
      <w:r>
        <w:rPr>
          <w:sz w:val="18"/>
        </w:rPr>
        <w:t xml:space="preserve">Le leve sull’elettricità: Quattro leve sull’elettricità, due letture; Leve 2 e 3 – La lettura market-based; Leve 2 e 3 – La lettura location-based; Lo Scope 2 di Terrafelix prima e dopo le leve; Il messaggio della sezione. — 3 slide</w:t>
      </w:r>
    </w:p>
    <w:p>
      <w:pPr>
        <w:pStyle w:val="ListBullet"/>
        <w:spacing w:after="20"/>
      </w:pPr>
      <w:r>
        <w:rPr>
          <w:sz w:val="18"/>
        </w:rPr>
        <w:t xml:space="preserve">Le leve sui trasporti e sulla flotta: Leva 4 – Quattro auto elettriche: i litri di gasolio evitati; Il bilancio della sostituzione: gasolio tolto, elettricità aggiunta; Leva 6 – Metà delle consegne europee dal camion al treno; Carichi pieni e percorsi migliori: quando l’inventario non li vede. — 2 slide</w:t>
      </w:r>
    </w:p>
    <w:p>
      <w:pPr>
        <w:pStyle w:val="ListBullet"/>
        <w:spacing w:after="20"/>
      </w:pPr>
      <w:r>
        <w:rPr>
          <w:sz w:val="18"/>
        </w:rPr>
        <w:t xml:space="preserve">Le leve sugli acquisti e sul prodotto: Lo Scope 3 di Terrafelix: dove agire; Leva 5 – Semola da filiera con pratiche agronomiche migliorative; Prova tu: quanta semola spostare sulla filiera migliorata; Imballaggi e scarti: ordini di grandezza di altre idee; Il molino e il dato che fa la differenza. — 2 slide</w:t>
      </w:r>
    </w:p>
    <w:p>
      <w:pPr>
        <w:pStyle w:val="ListBullet"/>
        <w:spacing w:after="20"/>
      </w:pPr>
      <w:r>
        <w:rPr>
          <w:sz w:val="18"/>
        </w:rPr>
        <w:t xml:space="preserve">Mettere in fila le leve: Le sei leve per tonnellate evitate ogni anno; Quanto costa una tonnellata evitata: il conto per la leva 1; La curva dei costi di abbattimento, in forma di tabella; Impatto e fattibilità: da dove partire. — 2 slide</w:t>
      </w:r>
    </w:p>
    <w:p>
      <w:pPr>
        <w:pStyle w:val="ListBullet"/>
        <w:spacing w:after="20"/>
      </w:pPr>
      <w:r>
        <w:rPr>
          <w:sz w:val="18"/>
        </w:rPr>
        <w:t xml:space="preserve">Il conto finale: obiettivo raggiunto?: Scope 1+2 market-based: quanto tolgono le leve 1–4; La discesa a cascata verso il 2030; Mancano 153,1 t: quanto gas bisogna ancora eliminare; Lo stesso piano letto con i due metodi; E lo Scope 3? Il contributo delle leve 1, 5 e 6; Prova tu: componi il mix di leve; Le leve allo studio per colmare la distanza. — 3 slide</w:t>
      </w:r>
    </w:p>
    <w:p>
      <w:pPr>
        <w:pStyle w:val="ListBullet"/>
        <w:spacing w:after="20"/>
      </w:pPr>
      <w:r>
        <w:rPr>
          <w:sz w:val="18"/>
        </w:rPr>
        <w:t xml:space="preserve">Il piano di decarbonizzazione: Che cosa contiene un piano di decarbonizzazione; Il calendario del piano 2026–2030; Chi fa che cosa: le schede azione; Il finanziamento legato agli obiettivi. — 2 slide</w:t>
      </w:r>
    </w:p>
    <w:p>
      <w:pPr>
        <w:pStyle w:val="ListBullet"/>
        <w:spacing w:after="20"/>
      </w:pPr>
      <w:r>
        <w:rPr>
          <w:sz w:val="18"/>
        </w:rPr>
        <w:t xml:space="preserve">Monitorare e rendicontare i progressi: Prova tu: se la produzione cambia; Volume e intensità: scomporre la variazione; Il cruscotto del piano a fine 2028; A che punto siamo: emissioni previste e traiettoria. — 2 slide</w:t>
      </w:r>
    </w:p>
    <w:p>
      <w:pPr>
        <w:pStyle w:val="ListBullet"/>
        <w:spacing w:after="20"/>
      </w:pPr>
      <w:r>
        <w:rPr>
          <w:sz w:val="18"/>
        </w:rPr>
        <w:t xml:space="preserve">Coinvolgere fornitori, clienti e persone: Chi coinvolgere e che cosa chiedere; Gli errori tipici dei piani di riduzione; La risposta al cliente: che cosa si può dire. — 2 slide</w:t>
      </w:r>
    </w:p>
    <w:p>
      <w:pPr>
        <w:pStyle w:val="ListBullet"/>
        <w:spacing w:after="20"/>
      </w:pPr>
      <w:r>
        <w:rPr>
          <w:sz w:val="18"/>
        </w:rPr>
        <w:t xml:space="preserve">Sintesi dell’unità: Il formulario dell’unità; Autovalutazione: il mio piano regge?; I punti chiave dell’unità. Verso il checkpoint. — 2 slide</w:t>
      </w:r>
    </w:p>
    <w:p>
      <w:pPr>
        <w:spacing w:before="160"/>
      </w:pPr>
      <w:r>
        <w:rPr>
          <w:b/>
          <w:sz w:val="20"/>
        </w:rPr>
        <w:t xml:space="preserve">M10 — Compensare, dichiarare, comunicare — ed esercitazione finale   (122 minuti · 27 slide)</w:t>
      </w:r>
    </w:p>
    <w:p>
      <w:pPr>
        <w:pStyle w:val="ListBullet"/>
        <w:spacing w:after="20"/>
      </w:pPr>
      <w:r>
        <w:rPr>
          <w:sz w:val="18"/>
        </w:rPr>
        <w:t xml:space="preserve">Bentornato e mappa dell'unità. Dopo la riduzione: le emissioni residue: Dove eravamo rimasti: Terrafelix dopo il piano di riduzione; Le 1.984,6 t residue di Scope 1+2: da dove vengono; La gerarchia di mitigazione: siamo all’ultimo gradino; Compensare non è ridurre. — 2 slide</w:t>
      </w:r>
    </w:p>
    <w:p>
      <w:pPr>
        <w:pStyle w:val="ListBullet"/>
        <w:spacing w:after="20"/>
      </w:pPr>
      <w:r>
        <w:rPr>
          <w:sz w:val="18"/>
        </w:rPr>
        <w:t xml:space="preserve">I crediti di carbonio: Le parole dei crediti di carbonio; La vita di un credito: dal progetto al ritiro; Crediti di riduzione o evitamento e crediti di rimozione. — 2 slide</w:t>
      </w:r>
    </w:p>
    <w:p>
      <w:pPr>
        <w:pStyle w:val="ListBullet"/>
        <w:spacing w:after="20"/>
      </w:pPr>
      <w:r>
        <w:rPr>
          <w:sz w:val="18"/>
        </w:rPr>
        <w:t xml:space="preserve">La qualità dei crediti: I sei criteri di qualità di un credito; Sette domande da fare a chi vende crediti; Quanti crediti servono e quanto costano: un esempio; Prova tu: quanti crediti servirebbero ogni anno. — 2 slide</w:t>
      </w:r>
    </w:p>
    <w:p>
      <w:pPr>
        <w:pStyle w:val="ListBullet"/>
        <w:spacing w:after="20"/>
      </w:pPr>
      <w:r>
        <w:rPr>
          <w:sz w:val="18"/>
        </w:rPr>
        <w:t xml:space="preserve">La neutralità carbonica secondo la ISO 14068-1: Il percorso verso la neutralità carbonica; Neutralità carbonica e net zero: non sono sinonimi; Terrafelix può dichiararsi «carbon neutral»?. — 2 slide</w:t>
      </w:r>
    </w:p>
    <w:p>
      <w:pPr>
        <w:pStyle w:val="ListBullet"/>
        <w:spacing w:after="20"/>
      </w:pPr>
      <w:r>
        <w:rPr>
          <w:sz w:val="18"/>
        </w:rPr>
        <w:t xml:space="preserve">Dichiarazioni e greenwashing: Asserzioni ambientali: i riferimenti da conoscere; Frasi sull’azienda: corretto e sbagliato; Frasi sul prodotto: corretto e sbagliato; Una griglia per classificare le asserzioni; L’etichetta proposta dal marketing. — 2 slide</w:t>
      </w:r>
    </w:p>
    <w:p>
      <w:pPr>
        <w:pStyle w:val="ListBullet"/>
        <w:spacing w:after="20"/>
      </w:pPr>
      <w:r>
        <w:rPr>
          <w:sz w:val="18"/>
        </w:rPr>
        <w:t xml:space="preserve">Comunicare i risultati: A ciascun destinatario il suo dato; La scheda dati 2025 di Terrafelix: i numeri da comunicare; Rendicontazione di sostenibilità e questionari: ESRS E1 e CDP; Dicembre: la risposta ai due clienti della grande distribuzione. — 2 slide</w:t>
      </w:r>
    </w:p>
    <w:p>
      <w:pPr>
        <w:pStyle w:val="ListBullet"/>
        <w:spacing w:after="20"/>
      </w:pPr>
      <w:r>
        <w:rPr>
          <w:sz w:val="18"/>
        </w:rPr>
        <w:t xml:space="preserve">Il sistema a regime: Il ciclo annuale di gestione delle emissioni; Il calendario dell’anno tipo, dal secondo inventario; Ruoli, integrazione e strumenti: che cosa serve a regime. — 2 slide</w:t>
      </w:r>
    </w:p>
    <w:p>
      <w:pPr>
        <w:pStyle w:val="ListBullet"/>
        <w:spacing w:after="20"/>
      </w:pPr>
      <w:r>
        <w:rPr>
          <w:sz w:val="18"/>
        </w:rPr>
        <w:t xml:space="preserve">Esercitazione finale (1): impostazione: Officine Sannio S.r.l.: l’azienda dell’esercitazione; Le cinque decisioni prima di contare; La mappa delle sorgenti di Officine Sannio; I dati raccolti: che cosa, quanto, da quale documento. — 2 slide</w:t>
      </w:r>
    </w:p>
    <w:p>
      <w:pPr>
        <w:pStyle w:val="ListBullet"/>
        <w:spacing w:after="20"/>
      </w:pPr>
      <w:r>
        <w:rPr>
          <w:sz w:val="18"/>
        </w:rPr>
        <w:t xml:space="preserve">Esercitazione finale (2): i calcoli: Scope 1 di Officine Sannio: cinque sorgenti dirette; Scope 2 location-based: il fattore medio della rete; Scope 2 market-based: senza garanzie vale il residual mix; Scope 3, categoria 1: l’acciaio acquistato; Scope 3, categoria 4: il trasporto dell’acciaio; Scope 3, categoria 3: la filiera a monte dell’energia; Scope 3, categorie 5 e 7: rifiuti e pendolarismo; Prova tu: l’inventario di Officine Sannio in sei righe. — 4 slide</w:t>
      </w:r>
    </w:p>
    <w:p>
      <w:pPr>
        <w:pStyle w:val="ListBullet"/>
        <w:spacing w:after="20"/>
      </w:pPr>
      <w:r>
        <w:rPr>
          <w:sz w:val="18"/>
        </w:rPr>
        <w:t xml:space="preserve">Esercitazione finale (3): risultati e piano: Il totale dell’inventario 2025 di Officine Sannio; Da dove vengono le 2.767,4 t: le voci dell’inventario; Gli indicatori: Scope 1+2 per tonnellata di acciaio lavorata; Leva 1: un impianto fotovoltaico sul tetto del capannone; Leva 2: acciaio a minori emissioni, con il dato del fornitore; Leva 3: meno gas per il forno e per il riscaldamento; Prima e dopo le tre leve: l’inventario per scope; Il messaggio per la direzione di Officine Sannio. — 3 slide</w:t>
      </w:r>
    </w:p>
    <w:p>
      <w:pPr>
        <w:pStyle w:val="ListBullet"/>
        <w:spacing w:after="20"/>
      </w:pPr>
      <w:r>
        <w:rPr>
          <w:sz w:val="18"/>
        </w:rPr>
        <w:t xml:space="preserve">La mappa dell’intero corso: La mappa del corso: quattro blocchi, dieci unità; Il formulario generale del corso; Le dieci regole d’oro del conteggio; Come proseguire: cinque passi dopo il corso. — 2 slide</w:t>
      </w:r>
    </w:p>
    <w:p>
      <w:pPr>
        <w:pStyle w:val="ListBullet"/>
        <w:spacing w:after="20"/>
      </w:pPr>
      <w:r>
        <w:rPr>
          <w:sz w:val="18"/>
        </w:rPr>
        <w:t xml:space="preserve">Sintesi dell’unità e del corso: La lista di controllo del professionista; Gli errori tipici su crediti, neutralità e comunicazione; I punti chiave dell’unità e del corso. Chiusura del corso e preparazione all'esame finale. — 2 slide</w:t>
      </w:r>
    </w:p>
    <w:p>
      <w:pPr>
        <w:pBdr>
          <w:bottom w:val="single" w:sz="6" w:space="1" w:color="444444"/>
        </w:pBdr>
      </w:pPr>
    </w:p>
    <w:p>
      <w:r>
        <w:rPr>
          <w:b/>
        </w:rPr>
        <w:t xml:space="preserve">Destinatari, verifiche e prezzo</w:t>
      </w:r>
    </w:p>
    <w:p>
      <w:pPr>
        <w:pStyle w:val="ListBullet"/>
        <w:spacing w:after="20"/>
      </w:pPr>
      <w:r>
        <w:rPr>
          <w:sz w:val="18"/>
        </w:rPr>
        <w:t xml:space="preserve">Destinatari: responsabili ambiente, energia e sostenibilità, consulenti di sistemi di gestione, responsabili qualità, amministrazione e acquisti che forniscono i dati, auditor interni. Nessun prerequisito: si parte da zero</w:t>
      </w:r>
    </w:p>
    <w:p>
      <w:pPr>
        <w:pStyle w:val="ListBullet"/>
        <w:spacing w:after="20"/>
      </w:pPr>
      <w:r>
        <w:rPr>
          <w:sz w:val="18"/>
        </w:rPr>
        <w:t xml:space="preserve">Checkpoint: uno per modulo, bloccante, cinque domande estratte da una banca di almeno dieci, soglia 80%</w:t>
      </w:r>
    </w:p>
    <w:p>
      <w:pPr>
        <w:pStyle w:val="ListBullet"/>
        <w:spacing w:after="20"/>
      </w:pPr>
      <w:r>
        <w:rPr>
          <w:sz w:val="18"/>
        </w:rPr>
        <w:t xml:space="preserve">Esame finale: venti domande estratte dalla banca delle centoventi domande degli esami di unità, soglia 75%</w:t>
      </w:r>
    </w:p>
    <w:p>
      <w:pPr>
        <w:pStyle w:val="ListBullet"/>
        <w:spacing w:after="20"/>
      </w:pPr>
      <w:r>
        <w:rPr>
          <w:sz w:val="18"/>
        </w:rPr>
        <w:t xml:space="preserve">Area di catalogo: manageriale · Modalità: FAD asincrona con relatore avatar su ogni slide, calcolatori interattivi</w:t>
      </w:r>
    </w:p>
    <w:p>
      <w:pPr>
        <w:pStyle w:val="ListBullet"/>
        <w:spacing w:after="20"/>
      </w:pPr>
      <w:r>
        <w:rPr>
          <w:sz w:val="18"/>
        </w:rPr>
        <w:t xml:space="preserve">Prezzo: 300 € (prezzo di listino 549 €), IVA esclusa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Carbon Footprint di organizzazione e di prodotto — Evalis Academy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