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PROPOSTA DIDATTICA — CORSO PARITÀ DI GENERE UNI/PdR 125:2022</w:t>
      </w:r>
    </w:p>
    <w:p>
      <w:pPr>
        <w:jc w:val="center"/>
      </w:pPr>
      <w:r>
        <w:rPr>
          <w:b/>
          <w:sz w:val="24"/>
        </w:rPr>
        <w:t xml:space="preserve">EVALIS ACADEMY</w:t>
      </w:r>
    </w:p>
    <w:p>
      <w:pPr>
        <w:jc w:val="center"/>
      </w:pPr>
      <w:r>
        <w:rPr>
          <w:b/>
          <w:sz w:val="18"/>
        </w:rPr>
        <w:t xml:space="preserve">EMESSO A OTTOBRE 2026 — BOZZA PER APPROVAZIONE</w:t>
      </w:r>
    </w:p>
    <w:p>
      <w:pPr>
        <w:pBdr>
          <w:bottom w:val="single" w:sz="6" w:space="1" w:color="444444"/>
        </w:pBdr>
      </w:pPr>
    </w:p>
    <w:p>
      <w:r>
        <w:t xml:space="preserve">Il presente documento raccoglie la struttura didattica del corso FAD-PDR125-01 sulla certificazione della parità di genere secondo la prassi di riferimento UNI/PdR 125:2022. Il corso nasce dal materiale didattico già redatto (due parti, ventidue sezioni, il caso ricorrente di Logistica Tifata) ed è verificato sul testo ufficiale della prassi pubblicato da UNI il 16 marzo 2022. Ogni slide è narrata dal relatore avatar, con lo stesso standard di voce, impaginazione e verifica dei corsi già in catalogo.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Il corso in sintesi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Corso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Moduli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t xml:space="preserve">Parità di genere UNI/PdR 125:2022: dal sistema di gestione alla certificazione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8 ore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108</w:t>
            </w:r>
          </w:p>
        </w:tc>
      </w:tr>
    </w:tbl>
    <w:p>
      <w:r>
        <w:rPr>
          <w:i/>
          <w:sz w:val="18"/>
        </w:rPr>
        <w:t xml:space="preserve">Totale: 8 ore di formazione (487 minuti di contenuti narrati per 480 minuti legali) · 108 slide.</w:t>
      </w:r>
    </w:p>
    <w:p>
      <w:r>
        <w:t xml:space="preserve">Ogni modulo è una lezione della piattaforma e si chiude con un checkpoint di verifica (quiz con domande estratte da banca dati, non conteggiato nel monte ore). Il corso si chiude con l'esame finale: 20 domande estratte da una banca di 32, soglia del 75% (15 su 20), costruito sulle domande del materiale didattico.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Che cosa porta a casa chi frequenta il corso</w:t>
      </w:r>
    </w:p>
    <w:p>
      <w:pPr>
        <w:pStyle w:val="ListBullet"/>
        <w:spacing w:after="20"/>
      </w:pPr>
      <w:r>
        <w:rPr>
          <w:sz w:val="18"/>
        </w:rPr>
        <w:t xml:space="preserve">Collocare la prassi: che cos'è una prassi di riferimento UNI, come si certifica sotto accreditamento, quali leggi la circondano</w:t>
      </w:r>
    </w:p>
    <w:p>
      <w:pPr>
        <w:pStyle w:val="ListBullet"/>
        <w:spacing w:after="20"/>
      </w:pPr>
      <w:r>
        <w:rPr>
          <w:sz w:val="18"/>
        </w:rPr>
        <w:t xml:space="preserve">Classificare l'organizzazione nelle quattro fasce dimensionali e applicare le semplificazioni previste per le fasce 1 e 2</w:t>
      </w:r>
    </w:p>
    <w:p>
      <w:pPr>
        <w:pStyle w:val="ListBullet"/>
        <w:spacing w:after="20"/>
      </w:pPr>
      <w:r>
        <w:rPr>
          <w:sz w:val="18"/>
        </w:rPr>
        <w:t xml:space="preserve">Scrivere la politica di parità, nominare il comitato guida e redigere il piano strategico sui sei temi</w:t>
      </w:r>
    </w:p>
    <w:p>
      <w:pPr>
        <w:pStyle w:val="ListBullet"/>
        <w:spacing w:after="20"/>
      </w:pPr>
      <w:r>
        <w:rPr>
          <w:sz w:val="18"/>
        </w:rPr>
        <w:t xml:space="preserve">Leggere le sei aree e i trentatré indicatori, con i loro pesi, e calcolare il punteggio ponderato rispetto alla soglia del 60%</w:t>
      </w:r>
    </w:p>
    <w:p>
      <w:pPr>
        <w:pStyle w:val="ListBullet"/>
        <w:spacing w:after="20"/>
      </w:pPr>
      <w:r>
        <w:rPr>
          <w:sz w:val="18"/>
        </w:rPr>
        <w:t xml:space="preserve">Misurare l'equità remunerativa, a parità di livello, e raccordarla con la trasparenza retributiva del D.Lgs. 96/2026</w:t>
      </w:r>
    </w:p>
    <w:p>
      <w:pPr>
        <w:pStyle w:val="ListBullet"/>
        <w:spacing w:after="20"/>
      </w:pPr>
      <w:r>
        <w:rPr>
          <w:sz w:val="18"/>
        </w:rPr>
        <w:t xml:space="preserve">Preparare audit interno, revisione periodica e audit di certificazione; conoscere ciclo triennale e sorveglianza</w:t>
      </w:r>
    </w:p>
    <w:p>
      <w:pPr>
        <w:pStyle w:val="ListBullet"/>
        <w:spacing w:after="20"/>
      </w:pPr>
      <w:r>
        <w:rPr>
          <w:sz w:val="18"/>
        </w:rPr>
        <w:t xml:space="preserve">Ottenere e mantenere i benefici: esonero contributivo, punteggio premiale nelle gare, riduzione della garanzia</w:t>
      </w:r>
    </w:p>
    <w:p>
      <w:pPr>
        <w:pStyle w:val="ListBullet"/>
        <w:spacing w:after="20"/>
      </w:pPr>
      <w:r>
        <w:rPr>
          <w:sz w:val="18"/>
        </w:rPr>
        <w:t xml:space="preserve">Applicare tutto a un caso reale e ricorrente: dal piano al punteggio di Logistica Tifata</w:t>
      </w:r>
    </w:p>
    <w:p>
      <w:pPr>
        <w:pBdr>
          <w:bottom w:val="single" w:sz="6" w:space="1" w:color="444444"/>
        </w:pBdr>
      </w:pPr>
    </w:p>
    <w:p>
      <w:r>
        <w:rPr>
          <w:b/>
          <w:sz w:val="24"/>
        </w:rPr>
        <w:t xml:space="preserve">PARITÀ DI GENERE UNI/PdR 125:2022 — DAL SISTEMA DI GESTIONE ALLA CERTIFICAZIONE</w:t>
      </w:r>
    </w:p>
    <w:p>
      <w:r>
        <w:rPr>
          <w:b/>
          <w:sz w:val="20"/>
        </w:rPr>
        <w:t xml:space="preserve">Durata: 8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prassi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La prassi di riferimento e il quadro di legge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§0-4, Appendice A in sintesi; quadro di legge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80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18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Fasce, politica, comitato guida e piano strategico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§5.1 fasce, §6.1 politiche, §6.2 pianificazione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81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18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I sei temi del piano e il caso Tifata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§6.3 piano strategico e temi, §6.4 sistema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81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18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Sei aree, trentatré indicatori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§5.1-5.7 aree, pesi, indicatori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81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18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Punteggio, equità remunerativa, audit e certificazione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§5.1 punteggio, §5.6, §6.4.5-6.4.8, Appendice A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82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18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Benefici, tenuta nel tempo e caso finale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benefici di legge, sorveglianza, D.Lgs. 96/2026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82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18</w:t>
            </w:r>
          </w:p>
        </w:tc>
      </w:tr>
    </w:tbl>
    <w:p>
      <w:pPr>
        <w:pBdr>
          <w:bottom w:val="single" w:sz="6" w:space="1" w:color="444444"/>
        </w:pBdr>
      </w:pPr>
    </w:p>
    <w:p>
      <w:r>
        <w:rPr>
          <w:b/>
        </w:rPr>
        <w:t xml:space="preserve">Argomenti per modulo (slide per slide)</w:t>
      </w:r>
    </w:p>
    <w:p>
      <w:pPr>
        <w:spacing w:before="160"/>
      </w:pPr>
      <w:r>
        <w:rPr>
          <w:b/>
          <w:sz w:val="20"/>
        </w:rPr>
        <w:t xml:space="preserve">M1 — La prassi di riferimento e il quadro di legge   (80 minuti · 18 slide)</w:t>
      </w:r>
    </w:p>
    <w:p>
      <w:pPr>
        <w:pStyle w:val="ListBullet"/>
        <w:spacing w:after="20"/>
      </w:pPr>
      <w:r>
        <w:rPr>
          <w:sz w:val="18"/>
        </w:rPr>
        <w:t xml:space="preserve">Benvenuto, come funziona il percorso, la tesi: prima il sistema, poi i numeri — 2 slide</w:t>
      </w:r>
    </w:p>
    <w:p>
      <w:pPr>
        <w:pStyle w:val="ListBullet"/>
        <w:spacing w:after="20"/>
      </w:pPr>
      <w:r>
        <w:rPr>
          <w:sz w:val="18"/>
        </w:rPr>
        <w:t xml:space="preserve">Il caso ricorrente: Logistica Tifata — 1 slide</w:t>
      </w:r>
    </w:p>
    <w:p>
      <w:pPr>
        <w:pStyle w:val="ListBullet"/>
        <w:spacing w:after="20"/>
      </w:pPr>
      <w:r>
        <w:rPr>
          <w:sz w:val="18"/>
        </w:rPr>
        <w:t xml:space="preserve">Che cos'è una prassi di riferimento UNI e perché non è una norma; il limite dei cinque anni — 2 slide</w:t>
      </w:r>
    </w:p>
    <w:p>
      <w:pPr>
        <w:pStyle w:val="ListBullet"/>
        <w:spacing w:after="20"/>
      </w:pPr>
      <w:r>
        <w:rPr>
          <w:sz w:val="18"/>
        </w:rPr>
        <w:t xml:space="preserve">Com'è fatto il documento: introduzione, principio, indicatori, sistema di gestione, Appendice A — 2 slide</w:t>
      </w:r>
    </w:p>
    <w:p>
      <w:pPr>
        <w:pStyle w:val="ListBullet"/>
        <w:spacing w:after="20"/>
      </w:pPr>
      <w:r>
        <w:rPr>
          <w:sz w:val="18"/>
        </w:rPr>
        <w:t xml:space="preserve">Certificare sotto accreditamento; le FAQ e le loro edizioni — 2 slide</w:t>
      </w:r>
    </w:p>
    <w:p>
      <w:pPr>
        <w:pStyle w:val="ListBullet"/>
        <w:spacing w:after="20"/>
      </w:pPr>
      <w:r>
        <w:rPr>
          <w:sz w:val="18"/>
        </w:rPr>
        <w:t xml:space="preserve">Che cosa valuta davvero la certificazione — 1 slide</w:t>
      </w:r>
    </w:p>
    <w:p>
      <w:pPr>
        <w:pStyle w:val="ListBullet"/>
        <w:spacing w:after="20"/>
      </w:pPr>
      <w:r>
        <w:rPr>
          <w:sz w:val="18"/>
        </w:rPr>
        <w:t xml:space="preserve">La legge 162/2021 e il rapporto biennale sulla situazione del personale — 2 slide</w:t>
      </w:r>
    </w:p>
    <w:p>
      <w:pPr>
        <w:pStyle w:val="ListBullet"/>
        <w:spacing w:after="20"/>
      </w:pPr>
      <w:r>
        <w:rPr>
          <w:sz w:val="18"/>
        </w:rPr>
        <w:t xml:space="preserve">Volontaria, non obbligatoria: articolo 46-bis e decreto 29 aprile 2022 — 2 slide</w:t>
      </w:r>
    </w:p>
    <w:p>
      <w:pPr>
        <w:pStyle w:val="ListBullet"/>
        <w:spacing w:after="20"/>
      </w:pPr>
      <w:r>
        <w:rPr>
          <w:sz w:val="18"/>
        </w:rPr>
        <w:t xml:space="preserve">Tre piani distinti: rapporto biennale, certificazione, trasparenza retributiva — 1 slide</w:t>
      </w:r>
    </w:p>
    <w:p>
      <w:pPr>
        <w:pStyle w:val="ListBullet"/>
        <w:spacing w:after="20"/>
      </w:pPr>
      <w:r>
        <w:rPr>
          <w:sz w:val="18"/>
        </w:rPr>
        <w:t xml:space="preserve">Il D.Lgs. 96/2026 in breve — 2 slide</w:t>
      </w:r>
    </w:p>
    <w:p>
      <w:pPr>
        <w:pStyle w:val="ListBullet"/>
        <w:spacing w:after="20"/>
      </w:pPr>
      <w:r>
        <w:rPr>
          <w:sz w:val="18"/>
        </w:rPr>
        <w:t xml:space="preserve">Sintesi del modulo e verso il checkpoint — 1 slide</w:t>
      </w:r>
    </w:p>
    <w:p>
      <w:pPr>
        <w:spacing w:before="160"/>
      </w:pPr>
      <w:r>
        <w:rPr>
          <w:b/>
          <w:sz w:val="20"/>
        </w:rPr>
        <w:t xml:space="preserve">M2 — Fasce, politica, comitato guida e piano strategico   (81 minuti · 18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 modulo — 1 slide</w:t>
      </w:r>
    </w:p>
    <w:p>
      <w:pPr>
        <w:pStyle w:val="ListBullet"/>
        <w:spacing w:after="20"/>
      </w:pPr>
      <w:r>
        <w:rPr>
          <w:sz w:val="18"/>
        </w:rPr>
        <w:t xml:space="preserve">Le quattro fasce dimensionali e Tifata in fascia 3 — 2 slide</w:t>
      </w:r>
    </w:p>
    <w:p>
      <w:pPr>
        <w:pStyle w:val="ListBullet"/>
        <w:spacing w:after="20"/>
      </w:pPr>
      <w:r>
        <w:rPr>
          <w:sz w:val="18"/>
        </w:rPr>
        <w:t xml:space="preserve">Le semplificazioni per le fasce 1 e 2; quanto vale il 60% per una micro; fasce 3 e 4 — 2 slide</w:t>
      </w:r>
    </w:p>
    <w:p>
      <w:pPr>
        <w:pStyle w:val="ListBullet"/>
        <w:spacing w:after="20"/>
      </w:pPr>
      <w:r>
        <w:rPr>
          <w:sz w:val="18"/>
        </w:rPr>
        <w:t xml:space="preserve">Il perimetro non si ritaglia — 1 slide</w:t>
      </w:r>
    </w:p>
    <w:p>
      <w:pPr>
        <w:pStyle w:val="ListBullet"/>
        <w:spacing w:after="20"/>
      </w:pPr>
      <w:r>
        <w:rPr>
          <w:sz w:val="18"/>
        </w:rPr>
        <w:t xml:space="preserve">La politica di parità: che cos'è, le condizioni del punto 6.1, le politiche collegate — 2 slide</w:t>
      </w:r>
    </w:p>
    <w:p>
      <w:pPr>
        <w:pStyle w:val="ListBullet"/>
        <w:spacing w:after="20"/>
      </w:pPr>
      <w:r>
        <w:rPr>
          <w:sz w:val="18"/>
        </w:rPr>
        <w:t xml:space="preserve">Dalla bozza alla politica, comunicarla, gli errori tipici — 2 slide</w:t>
      </w:r>
    </w:p>
    <w:p>
      <w:pPr>
        <w:pStyle w:val="ListBullet"/>
        <w:spacing w:after="20"/>
      </w:pPr>
      <w:r>
        <w:rPr>
          <w:sz w:val="18"/>
        </w:rPr>
        <w:t xml:space="preserve">Il comitato guida e gli impegni dell'alta direzione — 2 slide</w:t>
      </w:r>
    </w:p>
    <w:p>
      <w:pPr>
        <w:pStyle w:val="ListBullet"/>
        <w:spacing w:after="20"/>
      </w:pPr>
      <w:r>
        <w:rPr>
          <w:sz w:val="18"/>
        </w:rPr>
        <w:t xml:space="preserve">Responsabile della politica e presidio; il comitato di Tifata; ruoli da non confondere — 2 slide</w:t>
      </w:r>
    </w:p>
    <w:p>
      <w:pPr>
        <w:pStyle w:val="ListBullet"/>
        <w:spacing w:after="20"/>
      </w:pPr>
      <w:r>
        <w:rPr>
          <w:sz w:val="18"/>
        </w:rPr>
        <w:t xml:space="preserve">Il piano strategico come documento operativo e le sue cinque fasi — 2 slide</w:t>
      </w:r>
    </w:p>
    <w:p>
      <w:pPr>
        <w:pStyle w:val="ListBullet"/>
        <w:spacing w:after="20"/>
      </w:pPr>
      <w:r>
        <w:rPr>
          <w:sz w:val="18"/>
        </w:rPr>
        <w:t xml:space="preserve">Anatomia di un obiettivo; il piano e gli indicatori; risorse e proporzione — 1 slide</w:t>
      </w:r>
    </w:p>
    <w:p>
      <w:pPr>
        <w:pStyle w:val="ListBullet"/>
        <w:spacing w:after="20"/>
      </w:pPr>
      <w:r>
        <w:rPr>
          <w:sz w:val="18"/>
        </w:rPr>
        <w:t xml:space="preserve">Sintesi del modulo e verso il checkpoint — 1 slide</w:t>
      </w:r>
    </w:p>
    <w:p>
      <w:pPr>
        <w:spacing w:before="160"/>
      </w:pPr>
      <w:r>
        <w:rPr>
          <w:b/>
          <w:sz w:val="20"/>
        </w:rPr>
        <w:t xml:space="preserve">M3 — I sei temi del piano e il caso Tifata   (81 minuti · 18 slide)</w:t>
      </w:r>
    </w:p>
    <w:p>
      <w:pPr>
        <w:pStyle w:val="ListBullet"/>
        <w:spacing w:after="20"/>
      </w:pPr>
      <w:r>
        <w:rPr>
          <w:sz w:val="18"/>
        </w:rPr>
        <w:t xml:space="preserve">Bentornato e i sei temi del piano strategico — 1 slide</w:t>
      </w:r>
    </w:p>
    <w:p>
      <w:pPr>
        <w:pStyle w:val="ListBullet"/>
        <w:spacing w:after="20"/>
      </w:pPr>
      <w:r>
        <w:rPr>
          <w:sz w:val="18"/>
        </w:rPr>
        <w:t xml:space="preserve">Selezione e assunzione — 1 slide</w:t>
      </w:r>
    </w:p>
    <w:p>
      <w:pPr>
        <w:pStyle w:val="ListBullet"/>
        <w:spacing w:after="20"/>
      </w:pPr>
      <w:r>
        <w:rPr>
          <w:sz w:val="18"/>
        </w:rPr>
        <w:t xml:space="preserve">Gestione della carriera e la carriera in Tifata — 2 slide</w:t>
      </w:r>
    </w:p>
    <w:p>
      <w:pPr>
        <w:pStyle w:val="ListBullet"/>
        <w:spacing w:after="20"/>
      </w:pPr>
      <w:r>
        <w:rPr>
          <w:sz w:val="18"/>
        </w:rPr>
        <w:t xml:space="preserve">Equità salariale; il tema non è l'indicatore — 2 slide</w:t>
      </w:r>
    </w:p>
    <w:p>
      <w:pPr>
        <w:pStyle w:val="ListBullet"/>
        <w:spacing w:after="20"/>
      </w:pPr>
      <w:r>
        <w:rPr>
          <w:sz w:val="18"/>
        </w:rPr>
        <w:t xml:space="preserve">Genitorialità e cura — 1 slide</w:t>
      </w:r>
    </w:p>
    <w:p>
      <w:pPr>
        <w:pStyle w:val="ListBullet"/>
        <w:spacing w:after="20"/>
      </w:pPr>
      <w:r>
        <w:rPr>
          <w:sz w:val="18"/>
        </w:rPr>
        <w:t xml:space="preserve">Conciliazione vita lavoro e il part time in Tifata — 2 slide</w:t>
      </w:r>
    </w:p>
    <w:p>
      <w:pPr>
        <w:pStyle w:val="ListBullet"/>
        <w:spacing w:after="20"/>
      </w:pPr>
      <w:r>
        <w:rPr>
          <w:sz w:val="18"/>
        </w:rPr>
        <w:t xml:space="preserve">Prevenzione di abusi e molestie e il piano di prevenzione in pratica — 2 slide</w:t>
      </w:r>
    </w:p>
    <w:p>
      <w:pPr>
        <w:pStyle w:val="ListBullet"/>
        <w:spacing w:after="20"/>
      </w:pPr>
      <w:r>
        <w:rPr>
          <w:sz w:val="18"/>
        </w:rPr>
        <w:t xml:space="preserve">Documenti, monitoraggio e non conformità — 1 slide</w:t>
      </w:r>
    </w:p>
    <w:p>
      <w:pPr>
        <w:pStyle w:val="ListBullet"/>
        <w:spacing w:after="20"/>
      </w:pPr>
      <w:r>
        <w:rPr>
          <w:sz w:val="18"/>
        </w:rPr>
        <w:t xml:space="preserve">Caso pratico: il mandato, punti di forza e di debolezza di Tifata — 2 slide</w:t>
      </w:r>
    </w:p>
    <w:p>
      <w:pPr>
        <w:pStyle w:val="ListBullet"/>
        <w:spacing w:after="20"/>
      </w:pPr>
      <w:r>
        <w:rPr>
          <w:sz w:val="18"/>
        </w:rPr>
        <w:t xml:space="preserve">Caso pratico: gli obiettivi di Tifata sui sei temi — 2 slide</w:t>
      </w:r>
    </w:p>
    <w:p>
      <w:pPr>
        <w:pStyle w:val="ListBullet"/>
        <w:spacing w:after="20"/>
      </w:pPr>
      <w:r>
        <w:rPr>
          <w:sz w:val="18"/>
        </w:rPr>
        <w:t xml:space="preserve">Sintesi della Parte 1: ciò che è stabile e ciò che è in movimento, glossario — 1 slide</w:t>
      </w:r>
    </w:p>
    <w:p>
      <w:pPr>
        <w:pStyle w:val="ListBullet"/>
        <w:spacing w:after="20"/>
      </w:pPr>
      <w:r>
        <w:rPr>
          <w:sz w:val="18"/>
        </w:rPr>
        <w:t xml:space="preserve">Verso la Parte 2 e il checkpoint — 1 slide</w:t>
      </w:r>
    </w:p>
    <w:p>
      <w:pPr>
        <w:spacing w:before="160"/>
      </w:pPr>
      <w:r>
        <w:rPr>
          <w:b/>
          <w:sz w:val="20"/>
        </w:rPr>
        <w:t xml:space="preserve">M4 — Sei aree, trentatré indicatori   (81 minuti · 18 slide)</w:t>
      </w:r>
    </w:p>
    <w:p>
      <w:pPr>
        <w:pStyle w:val="ListBullet"/>
        <w:spacing w:after="20"/>
      </w:pPr>
      <w:r>
        <w:rPr>
          <w:sz w:val="18"/>
        </w:rPr>
        <w:t xml:space="preserve">Bentornato, la tesi della Parte 2 e la mappa — 1 slide</w:t>
      </w:r>
    </w:p>
    <w:p>
      <w:pPr>
        <w:pStyle w:val="ListBullet"/>
        <w:spacing w:after="20"/>
      </w:pPr>
      <w:r>
        <w:rPr>
          <w:sz w:val="18"/>
        </w:rPr>
        <w:t xml:space="preserve">Tifata alla prima rilevazione — 1 slide</w:t>
      </w:r>
    </w:p>
    <w:p>
      <w:pPr>
        <w:pStyle w:val="ListBullet"/>
        <w:spacing w:after="20"/>
      </w:pPr>
      <w:r>
        <w:rPr>
          <w:sz w:val="18"/>
        </w:rPr>
        <w:t xml:space="preserve">Sei aree, sei pesi — 2 slide</w:t>
      </w:r>
    </w:p>
    <w:p>
      <w:pPr>
        <w:pStyle w:val="ListBullet"/>
        <w:spacing w:after="20"/>
      </w:pPr>
      <w:r>
        <w:rPr>
          <w:sz w:val="18"/>
        </w:rPr>
        <w:t xml:space="preserve">Indicatori qualitativi e quantitativi — 2 slide</w:t>
      </w:r>
    </w:p>
    <w:p>
      <w:pPr>
        <w:pStyle w:val="ListBullet"/>
        <w:spacing w:after="20"/>
      </w:pPr>
      <w:r>
        <w:rPr>
          <w:sz w:val="18"/>
        </w:rPr>
        <w:t xml:space="preserve">Quando il dato manca — 1 slide</w:t>
      </w:r>
    </w:p>
    <w:p>
      <w:pPr>
        <w:pStyle w:val="ListBullet"/>
        <w:spacing w:after="20"/>
      </w:pPr>
      <w:r>
        <w:rPr>
          <w:sz w:val="18"/>
        </w:rPr>
        <w:t xml:space="preserve">Area Cultura e strategia — 2 slide</w:t>
      </w:r>
    </w:p>
    <w:p>
      <w:pPr>
        <w:pStyle w:val="ListBullet"/>
        <w:spacing w:after="20"/>
      </w:pPr>
      <w:r>
        <w:rPr>
          <w:sz w:val="18"/>
        </w:rPr>
        <w:t xml:space="preserve">Area Governance — 2 slide</w:t>
      </w:r>
    </w:p>
    <w:p>
      <w:pPr>
        <w:pStyle w:val="ListBullet"/>
        <w:spacing w:after="20"/>
      </w:pPr>
      <w:r>
        <w:rPr>
          <w:sz w:val="18"/>
        </w:rPr>
        <w:t xml:space="preserve">Area Processi HR — 2 slide</w:t>
      </w:r>
    </w:p>
    <w:p>
      <w:pPr>
        <w:pStyle w:val="ListBullet"/>
        <w:spacing w:after="20"/>
      </w:pPr>
      <w:r>
        <w:rPr>
          <w:sz w:val="18"/>
        </w:rPr>
        <w:t xml:space="preserve">Area Opportunità di crescita e inclusione, applicata a Tifata — 2 slide</w:t>
      </w:r>
    </w:p>
    <w:p>
      <w:pPr>
        <w:pStyle w:val="ListBullet"/>
        <w:spacing w:after="20"/>
      </w:pPr>
      <w:r>
        <w:rPr>
          <w:sz w:val="18"/>
        </w:rPr>
        <w:t xml:space="preserve">Area Equità remunerativa — 1 slide</w:t>
      </w:r>
    </w:p>
    <w:p>
      <w:pPr>
        <w:pStyle w:val="ListBullet"/>
        <w:spacing w:after="20"/>
      </w:pPr>
      <w:r>
        <w:rPr>
          <w:sz w:val="18"/>
        </w:rPr>
        <w:t xml:space="preserve">Area Tutela della genitorialità e conciliazione — 1 slide</w:t>
      </w:r>
    </w:p>
    <w:p>
      <w:pPr>
        <w:pStyle w:val="ListBullet"/>
        <w:spacing w:after="20"/>
      </w:pPr>
      <w:r>
        <w:rPr>
          <w:sz w:val="18"/>
        </w:rPr>
        <w:t xml:space="preserve">La raccolta dei dati HR e verso il checkpoint — 1 slide</w:t>
      </w:r>
    </w:p>
    <w:p>
      <w:pPr>
        <w:spacing w:before="160"/>
      </w:pPr>
      <w:r>
        <w:rPr>
          <w:b/>
          <w:sz w:val="20"/>
        </w:rPr>
        <w:t xml:space="preserve">M5 — Punteggio, equità remunerativa, audit e certificazione   (82 minuti · 18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 modulo — 1 slide</w:t>
      </w:r>
    </w:p>
    <w:p>
      <w:pPr>
        <w:pStyle w:val="ListBullet"/>
        <w:spacing w:after="20"/>
      </w:pPr>
      <w:r>
        <w:rPr>
          <w:sz w:val="18"/>
        </w:rPr>
        <w:t xml:space="preserve">La formula del punteggio ponderato; la soglia non è per area — 2 slide</w:t>
      </w:r>
    </w:p>
    <w:p>
      <w:pPr>
        <w:pStyle w:val="ListBullet"/>
        <w:spacing w:after="20"/>
      </w:pPr>
      <w:r>
        <w:rPr>
          <w:sz w:val="18"/>
        </w:rPr>
        <w:t xml:space="preserve">Perché la media semplice è sbagliata; il punteggio di Tifata alla prima rilevazione — 2 slide</w:t>
      </w:r>
    </w:p>
    <w:p>
      <w:pPr>
        <w:pStyle w:val="ListBullet"/>
        <w:spacing w:after="20"/>
      </w:pPr>
      <w:r>
        <w:rPr>
          <w:sz w:val="18"/>
        </w:rPr>
        <w:t xml:space="preserve">Quanto vale ogni indicatore e che cosa il punteggio non dice — 1 slide</w:t>
      </w:r>
    </w:p>
    <w:p>
      <w:pPr>
        <w:pStyle w:val="ListBullet"/>
        <w:spacing w:after="20"/>
      </w:pPr>
      <w:r>
        <w:rPr>
          <w:sz w:val="18"/>
        </w:rPr>
        <w:t xml:space="preserve">Equità remunerativa: che cosa si confronta, divario grezzo e a parità di livello — 2 slide</w:t>
      </w:r>
    </w:p>
    <w:p>
      <w:pPr>
        <w:pStyle w:val="ListBullet"/>
        <w:spacing w:after="20"/>
      </w:pPr>
      <w:r>
        <w:rPr>
          <w:sz w:val="18"/>
        </w:rPr>
        <w:t xml:space="preserve">Il calcolo per livello e le regole delle FAQ — 1 slide</w:t>
      </w:r>
    </w:p>
    <w:p>
      <w:pPr>
        <w:pStyle w:val="ListBullet"/>
        <w:spacing w:after="20"/>
      </w:pPr>
      <w:r>
        <w:rPr>
          <w:sz w:val="18"/>
        </w:rPr>
        <w:t xml:space="preserve">Promozioni, retribuzione variabile e raccordo con la trasparenza retributiva — 1 slide</w:t>
      </w:r>
    </w:p>
    <w:p>
      <w:pPr>
        <w:pStyle w:val="ListBullet"/>
        <w:spacing w:after="20"/>
      </w:pPr>
      <w:r>
        <w:rPr>
          <w:sz w:val="18"/>
        </w:rPr>
        <w:t xml:space="preserve">Gli audit interni, le evidenze e le situazioni non conformi — 2 slide</w:t>
      </w:r>
    </w:p>
    <w:p>
      <w:pPr>
        <w:pStyle w:val="ListBullet"/>
        <w:spacing w:after="20"/>
      </w:pPr>
      <w:r>
        <w:rPr>
          <w:sz w:val="18"/>
        </w:rPr>
        <w:t xml:space="preserve">La revisione periodica e il calendario di Tifata verso l'audit — 1 slide</w:t>
      </w:r>
    </w:p>
    <w:p>
      <w:pPr>
        <w:pStyle w:val="ListBullet"/>
        <w:spacing w:after="20"/>
      </w:pPr>
      <w:r>
        <w:rPr>
          <w:sz w:val="18"/>
        </w:rPr>
        <w:t xml:space="preserve">Le regole di certificazione e il gruppo di audit — 2 slide</w:t>
      </w:r>
    </w:p>
    <w:p>
      <w:pPr>
        <w:pStyle w:val="ListBullet"/>
        <w:spacing w:after="20"/>
      </w:pPr>
      <w:r>
        <w:rPr>
          <w:sz w:val="18"/>
        </w:rPr>
        <w:t xml:space="preserve">I tempi di audit, il ciclo triennale e i tre orologi — 2 slide</w:t>
      </w:r>
    </w:p>
    <w:p>
      <w:pPr>
        <w:pStyle w:val="ListBullet"/>
        <w:spacing w:after="20"/>
      </w:pPr>
      <w:r>
        <w:rPr>
          <w:sz w:val="18"/>
        </w:rPr>
        <w:t xml:space="preserve">Sintesi del modulo e verso il checkpoint — 1 slide</w:t>
      </w:r>
    </w:p>
    <w:p>
      <w:pPr>
        <w:spacing w:before="160"/>
      </w:pPr>
      <w:r>
        <w:rPr>
          <w:b/>
          <w:sz w:val="20"/>
        </w:rPr>
        <w:t xml:space="preserve">M6 — Benefici, tenuta nel tempo e caso finale   (82 minuti · 18 slide)</w:t>
      </w:r>
    </w:p>
    <w:p>
      <w:pPr>
        <w:pStyle w:val="ListBullet"/>
        <w:spacing w:after="20"/>
      </w:pPr>
      <w:r>
        <w:rPr>
          <w:sz w:val="18"/>
        </w:rPr>
        <w:t xml:space="preserve">Bentornato: tre benefici e una condizione — 1 slide</w:t>
      </w:r>
    </w:p>
    <w:p>
      <w:pPr>
        <w:pStyle w:val="ListBullet"/>
        <w:spacing w:after="20"/>
      </w:pPr>
      <w:r>
        <w:rPr>
          <w:sz w:val="18"/>
        </w:rPr>
        <w:t xml:space="preserve">L'esonero contributivo: la regola, i conti di Tifata, la domanda — 3 slide</w:t>
      </w:r>
    </w:p>
    <w:p>
      <w:pPr>
        <w:pStyle w:val="ListBullet"/>
        <w:spacing w:after="20"/>
      </w:pPr>
      <w:r>
        <w:rPr>
          <w:sz w:val="18"/>
        </w:rPr>
        <w:t xml:space="preserve">Il punteggio premiale nelle gare e la riduzione della garanzia — 2 slide</w:t>
      </w:r>
    </w:p>
    <w:p>
      <w:pPr>
        <w:pStyle w:val="ListBullet"/>
        <w:spacing w:after="20"/>
      </w:pPr>
      <w:r>
        <w:rPr>
          <w:sz w:val="18"/>
        </w:rPr>
        <w:t xml:space="preserve">Il raccordo con il D.Lgs. 96/2026 e una sola base dati — 2 slide</w:t>
      </w:r>
    </w:p>
    <w:p>
      <w:pPr>
        <w:pStyle w:val="ListBullet"/>
        <w:spacing w:after="20"/>
      </w:pPr>
      <w:r>
        <w:rPr>
          <w:sz w:val="18"/>
        </w:rPr>
        <w:t xml:space="preserve">Che cosa guarda la sorveglianza e quando il certificato viene meno — 2 slide</w:t>
      </w:r>
    </w:p>
    <w:p>
      <w:pPr>
        <w:pStyle w:val="ListBullet"/>
        <w:spacing w:after="20"/>
      </w:pPr>
      <w:r>
        <w:rPr>
          <w:sz w:val="18"/>
        </w:rPr>
        <w:t xml:space="preserve">La linea del tempo delle regole; gruppi, più sedi e sistemi integrati — 2 slide</w:t>
      </w:r>
    </w:p>
    <w:p>
      <w:pPr>
        <w:pStyle w:val="ListBullet"/>
        <w:spacing w:after="20"/>
      </w:pPr>
      <w:r>
        <w:rPr>
          <w:sz w:val="18"/>
        </w:rPr>
        <w:t xml:space="preserve">Caso pratico: scegliere le due aree, il ricalcolo dopo il piano, che cosa resta fuori — 3 slide</w:t>
      </w:r>
    </w:p>
    <w:p>
      <w:pPr>
        <w:pStyle w:val="ListBullet"/>
        <w:spacing w:after="20"/>
      </w:pPr>
      <w:r>
        <w:rPr>
          <w:sz w:val="18"/>
        </w:rPr>
        <w:t xml:space="preserve">Sintesi della Parte 2: ciò che è stabile e ciò che è in movimento, glossario — 2 slide</w:t>
      </w:r>
    </w:p>
    <w:p>
      <w:pPr>
        <w:pStyle w:val="ListBullet"/>
        <w:spacing w:after="20"/>
      </w:pPr>
      <w:r>
        <w:rPr>
          <w:sz w:val="18"/>
        </w:rPr>
        <w:t xml:space="preserve">Dopo il corso e preparazione all'esame finale — 1 slide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Destinatari, verifiche e prezzo</w:t>
      </w:r>
    </w:p>
    <w:p>
      <w:pPr>
        <w:pStyle w:val="ListBullet"/>
        <w:spacing w:after="20"/>
      </w:pPr>
      <w:r>
        <w:rPr>
          <w:sz w:val="18"/>
        </w:rPr>
        <w:t xml:space="preserve">Destinatari: consulenti del lavoro, responsabili HR, consulenti di sistemi di gestione, auditor interni. Si dà per nota la struttura di un sistema di gestione ISO e l'amministrazione del personale</w:t>
      </w:r>
    </w:p>
    <w:p>
      <w:pPr>
        <w:pStyle w:val="ListBullet"/>
        <w:spacing w:after="20"/>
      </w:pPr>
      <w:r>
        <w:rPr>
          <w:sz w:val="18"/>
        </w:rPr>
        <w:t xml:space="preserve">Checkpoint: uno per modulo, bloccante, cinque domande estratte da una banca di almeno dieci, soglia 80%</w:t>
      </w:r>
    </w:p>
    <w:p>
      <w:pPr>
        <w:pStyle w:val="ListBullet"/>
        <w:spacing w:after="20"/>
      </w:pPr>
      <w:r>
        <w:rPr>
          <w:sz w:val="18"/>
        </w:rPr>
        <w:t xml:space="preserve">Esame finale: venti domande estratte da una banca di trentadue, soglia 75% (15 su 20)</w:t>
      </w:r>
    </w:p>
    <w:p>
      <w:pPr>
        <w:pStyle w:val="ListBullet"/>
        <w:spacing w:after="20"/>
      </w:pPr>
      <w:r>
        <w:rPr>
          <w:sz w:val="18"/>
        </w:rPr>
        <w:t xml:space="preserve">Area di catalogo: manageriale · Modalità: FAD asincrona con relatore avatar su ogni slide</w:t>
      </w:r>
    </w:p>
    <w:p>
      <w:pPr>
        <w:pStyle w:val="ListBullet"/>
        <w:spacing w:after="20"/>
      </w:pPr>
      <w:r>
        <w:rPr>
          <w:sz w:val="18"/>
        </w:rPr>
        <w:t xml:space="preserve">Prezzo: 300 € (prezzo di listino 549 €), IVA esclusa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Parità di genere UNI/PdR 125:2022 — Evalis Academy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