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SafeGrowth Vault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95959"/>
          <w:sz w:val="32"/>
          <w:szCs w:val="32"/>
        </w:rPr>
        <w:t xml:space="preserve">Architecture Decision Record</w:t>
      </w:r>
    </w:p>
    <w:p>
      <w:pPr>
        <w:shd w:fill="E2EFDA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ADR-009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No Central Servers in the Critical Path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 single node or service is required for storage, retrieval, discovery, or consensus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ADR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ADR-009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Deciders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Glenn + remote collaborators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SRD References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NF-08, Section 8 Constraints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 ADRs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ADR-008 (PBFT-lite Consensus), ADR-010 (Credit System)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v1.1 Update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image registry accepted as install-time exception — see Section 3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common failure mode in systems claiming decentralization is the introduction of 'soft' centralization — components that are technically optional but practically required for the system to function. Examples: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Storj's satellite coordination nodes: technically replaceable, but in practice the Storj network requires Storj Inc.'s satellites to function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IPFS pinning services: IPFS is decentralized, but persistence requires centralized pinning services (Pinata, Infura)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Many 'decentralized' systems that use a central discovery server, relay, or billing system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SRD constraint is explicit: 'No central servers in the critical path for any core operation (storage, retrieval, consensus)' (SRD Section 8). And: 'The system must remain functional when the original developers are unavailable — no proprietary backend.'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Decision</w:t>
      </w:r>
    </w:p>
    <w:p>
      <w:pPr>
        <w:shd w:fill="E2EFDA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single node, server, or service operated by the SafeGrowth development team or any third party is required for the core operations of storage, retrieval, peer discovery (Phase 3), or consensus.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for Operation?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Bootstrap peers (DDNS)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internet connectivity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DHT takes over in Phase 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nodes cannot join; existing connected nodes continue unaffected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DuckDNS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DDNS for bootstrap hostname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any DDNS or static IP works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Bootstrap hostname unresolvable; see Runbook Section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Relay nodes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 traversal fallback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~70-80% use hole punching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~5-10% of nodes use relay; relay failure degrades but does not break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(source code)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distribution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compiled binary is self-contained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distribute new versions; existing deployments unaffected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registry (Hub/GHCR)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 install convenience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install-time only; static binary alternative provided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 operators cannot pull pre-built image; must use static binary tarball or build from source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Accepted Exception — Docker Registry (v1.1 Update)</w:t>
      </w:r>
    </w:p>
    <w:p>
      <w:pPr>
        <w:shd w:fill="FFF2CC" w:val="clear"/>
        <w:spacing w:before="100" w:after="100"/>
        <w:ind w:left="180" w:right="180"/>
      </w:pPr>
      <w:r>
        <w:rPr>
          <w:rFonts w:ascii="Arial" w:cs="Arial" w:eastAsia="Arial" w:hAnsi="Arial"/>
          <w:sz w:val="20"/>
          <w:szCs w:val="20"/>
        </w:rPr>
        <w:t xml:space="preserve">Docker image registry (Docker Hub or GitHub Container Registry) is used for NAS install convenience. This is an install-time dependency only — not a runtime dependency. It is explicitly accepted as an exception to this ADR. Static binary tarballs are provided as an alternative for air-gapped or registry-free NAS installs. No runtime functionality is affected.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What Would Violate This Decision</w:t>
      </w:r>
    </w:p>
    <w:p>
      <w:pPr>
        <w:shd w:fill="FCE4D6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following must NEVER be introduced: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Any API call to a SafeGrowth-operated server required for storage, retrieval, or consensus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Any licensing or telemetry check-in to a remote server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Any credit or reputation operation that requires a specific node operated by the team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Hardcoded bootstrap addresses resolving to SafeGrowth-operated servers (bootstrap addresses must be user-configurable and replaceable)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Any cryptographic operation requiring a remote service (remote CA, remote key signing)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Consequences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Positive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Network survives the original developers becoming unavailable (meets SRD 'proprietary backend' constraint)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No vendor lock-in to any cloud provider, DNS service, or hosting company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Bootstrap peer failure is graceful: Phase 3 DHT means ongoing peer discovery does not require bootstrap nodes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Users own their data completely: no account, no subscription, no central key store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Negative / Trade-offs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Phase 2 soft centralization risk: with only 2 bootstrap nodes, losing both simultaneously prevents new nodes from joining (existing connected nodes unaffected). Mitigated by PD-06 requirement for 2 bootstrap peers from distinct locations.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Without central telemetry, monitoring overall network health requires querying individual nodes — no central dashboard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Rejection 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 coordinator for shard placement and credit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This is the Storj satellite model. Creates a single point of failure and liability concentration. Directly contradicts SRD constraint.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IPFS infrastructure for peer discovery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Introduces dependency on IPFS ecosystem health. SafeGrowth's Phase 3 DHT (libp2p Kademlia) is architecturally equivalent without external infrastructure dependency. Mixing into IPFS DHT creates routing confusion and privacy exposure.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Hardcoded bootstrap node list (like Bitcoin DNS seeds)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hardcoded list controlled by the development team is soft centralization. User-configurable bootstrap peers in config.json puts control with node operators, not developers.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Related ADRs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ADR-008 (PBFT-lite Consensus) — consensus must not require a central coordinator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ADR-010 (Credit System Without Cryptocurrency) — credits must not require a central ledger server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ADR-011 (Super Anchor / NAS) — documents Docker registry as accepted install-time exception to this ADR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ADR-009  |  Status: Accepted  |  March 2026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95959"/>
        <w:sz w:val="18"/>
        <w:szCs w:val="18"/>
      </w:rPr>
      <w:t xml:space="preserve">SafeGrowth Vault  |  ADR-009  |  No Central Servers in the Critical Path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2026-03-19T10:52:42.554Z</dcterms:created>
  <dcterms:modified xsi:type="dcterms:W3CDTF">2026-03-19T10:52:42.554Z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