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Developer Quickstart &amp; Contribution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 1.24+  •  Zero CGO  •  5 Build Targets  •  Post-Quantum Crypto  •  Open Source</w:t>
      </w:r>
    </w:p>
    <w:p>
      <w:pPr>
        <w:shd w:fill="FFF2CC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 THIS FIRST: The project designer (Glenn) is not a programmer. He designed and documented the entire architecture but cannot write or review code. The engineering work is open for contributors. Everything you need to start is here.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60-Second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is a decentralized, end-to-end encrypted storage network. Any hardware can participate. No token. No central server. Post-quantum cryptography (ML-KEM + ML-DSA, NIST FIPS 203/204) throughout. Fully cross-compiled to Linux, Windows, Android, and FreeBSD from a single CGO_ENABLED=0 go build. Complete architecture documentation exists. Working code does not yet exist.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Target first build (Week 1):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git clone https://github.com/[username]/safegrowth &amp;&amp; cd safegrowth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 build -o ./safegrowth-node ./node/cmd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./safegrowth-node start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Should: generate ML-DSA-65 + ML-KEM-768 keypairs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Should: start REST API on localhost:8080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Should: start P2P listener on :4001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Should: begin mDNS announcements on default-route interface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Repository Layout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safegrowth/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node/                    # The daemon (Go 1.24+)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identity/            # ML-DSA + ML-KEM keypair management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storage/             # Pebble KV store (shards/ manifest/ credits/)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crypto/              # AES-GCM, ML-KEM encap/decap, ML-DSA sign/verify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sharding/            # Reed-Solomon split/reconstruct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gossip/              # Epidemic gossip + mDNS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consensus/           # PBFT-lite (custom implementation)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por/                 # Proof of Retrievability engine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reputation/          # Composite reputation scoring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credits/             # Credit ledger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replication/         # Shard placement manager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api/                 # REST/gRPC API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cli/                     # CLI client (cobra)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app/                     # Flutter UI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proto/                   # Protobuf definitions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scripts/install/         # Platform install scripts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docs/                    # All architecture documentation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The 5 CI Build Targets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five must pass on every PR. The CI runner has no C toolchain installed intentionally — any PR introducing a CGO dependency fails at this step.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GOOS=linux   GOARCH=amd64 go build ./node/cmd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GOOS=windows GOARCH=amd64 go build ./node/cmd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GOOS=linux   GOARCH=arm64 go build ./node/cmd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GOOS=android GOARCH=arm64 go build ./node/cmd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GOOS=freebsd GOARCH=amd64 go build ./node/cmd  # TrueNAS CORE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Architecture in 5 Minutes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Trust Model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node proves it holds the shards it claims to hold — continuously. A shared challenge seed is established between the shard holder and 3+ verifying peers via ML-KEM key exchange. Verifiers derive challenge parameters (byte range + nonce) independently from the seed and a fresh random salt on each challenge. The holder computes the response live from the actual shard. Pre-computation without the shard is impossible because the salt is unknown until the challenge arrives.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Three Deployment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mDNS, identity, storage, sharding, REST API, 2-of-3 erasure coding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trusted (your own devices)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system, mTLS, signed gossip, DDNS, 3-of-5 coding, credit ledger, NAS support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chain web-of-trust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ZK-PoR (gnark), PBFT-lite, Sybil resistance, DHT, reputation, 5-of-9 coding, Flutter 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trust — math-enforced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Documents to Read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When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DEVPLAN_v1.2.docx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20-week implementation plan. Start here. Every week is a clear task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ADR-001 (Zero CGO)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any 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one constraint that drives every dependency choice.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PROTOCOL_SPEC_v1.1.docx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wire-level spec. Governs over all other docs if they conflict.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ADR-004 (ML-DSA)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open question A-01 (raw bytes vs DER encoding) — MUST resolve before any inter-node protocol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SRD_v1.2.docx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full requirements document — what done looks like for every component.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THREAT_MODEL_v1.1.docx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Phase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30+ attack vectors and how the architecture prevents each. Essential reading before opening to outside participants.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FOR_DISCUSSION_v1.0.docx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questions that need team decisions. Check this before making significant implementation choices.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ADR-011 (NAS / Super Anchor)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Week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Five interrelated NAS decisions including Docker --network host mandate and maintenance mode.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Key Open Questions (Resolve Before Building)</w:t>
      </w:r>
    </w:p>
    <w:p>
      <w:pPr>
        <w:shd w:fill="FCE4D6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A-01 is a Week 1 blocker. All inter-node protocol code depends on this decision.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6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encoding for ML-DSA signatures in MessageEnvelope — raw bytes or DER? All inter-node message code depends on this. Pick one, document it, commit it to ADR-004.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the 15-second spinning-disk PoR timeout for NAS nodes be a protocol MUST or SHOULD? MUST is fairer; SHOULD is safer against false storage_type claims.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13-14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trusted peer table size before DHT is required? Raspberry Pi 3B has 1GB RAM.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claim batching for consensus — avoiding O(n) rounds per epoch?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9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How Glenn Fits Into This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Glenn is the project designer. He is not a programmer. Here is what that means practically: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 will answer architectural questions immediately: </w:t>
      </w:r>
      <w:r>
        <w:rPr>
          <w:rFonts w:ascii="Arial" w:cs="Arial" w:eastAsia="Arial" w:hAnsi="Arial"/>
          <w:sz w:val="20"/>
          <w:szCs w:val="20"/>
        </w:rPr>
        <w:t xml:space="preserve">if you are unsure what a component should do, ask him — he knows the design intent in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 will not review code for technical correctness: </w:t>
      </w:r>
      <w:r>
        <w:rPr>
          <w:rFonts w:ascii="Arial" w:cs="Arial" w:eastAsia="Arial" w:hAnsi="Arial"/>
          <w:sz w:val="20"/>
          <w:szCs w:val="20"/>
        </w:rPr>
        <w:t xml:space="preserve">he is not qualified to. Code review must come from engineering contributors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 runs the physical test hardware: </w:t>
      </w:r>
      <w:r>
        <w:rPr>
          <w:rFonts w:ascii="Arial" w:cs="Arial" w:eastAsia="Arial" w:hAnsi="Arial"/>
          <w:sz w:val="20"/>
          <w:szCs w:val="20"/>
        </w:rPr>
        <w:t xml:space="preserve">OptiPlex 990, Dell Latitude, Lenovo Flex, Android phones, NAS device — he will run integration tests on real hardware at each milestone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 maintains all documentation: </w:t>
      </w:r>
      <w:r>
        <w:rPr>
          <w:rFonts w:ascii="Arial" w:cs="Arial" w:eastAsia="Arial" w:hAnsi="Arial"/>
          <w:sz w:val="20"/>
          <w:szCs w:val="20"/>
        </w:rPr>
        <w:t xml:space="preserve">any architectural decision that evolves during implementation gets reflected in the 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 drives funding and community outreach: </w:t>
      </w:r>
      <w:r>
        <w:rPr>
          <w:rFonts w:ascii="Arial" w:cs="Arial" w:eastAsia="Arial" w:hAnsi="Arial"/>
          <w:sz w:val="20"/>
          <w:szCs w:val="20"/>
        </w:rPr>
        <w:t xml:space="preserve">his job is to find more contributors and funding so the engineering team can focus on building</w:t>
      </w:r>
    </w:p>
    <w:p>
      <w:pPr>
        <w:spacing w:before="100" w:after="100"/>
      </w:pPr>
      <w:r>
        <w:t xml:space="preserve"/>
      </w:r>
    </w:p>
    <w:p>
      <w:pPr>
        <w:shd w:fill="E2EFDA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most useful thing you can do in the first week: resolve A-01 and open a PR to ADR-004 with the encoding decision and rationale. Everything else in the protocol depends on it.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GitHub: github.com/[username]/safegrowth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Contact Glenn: [contact details]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SafeGrowth Vault  |  github.com/[username]/safegrowth  |  Go 1.24+  |  CGO_ENABLED=0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Developer Quickstart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2026-03-19T12:45:09.566Z</dcterms:created>
  <dcterms:modified xsi:type="dcterms:W3CDTF">2026-03-19T12:45:09.566Z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