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52"/>
          <w:szCs w:val="52"/>
        </w:rPr>
        <w:t xml:space="preserve">SafeGrowth Vault</w:t>
      </w:r>
    </w:p>
    <w:p>
      <w:pPr>
        <w:spacing w:before="0" w:after="80"/>
        <w:jc w:val="center"/>
      </w:pPr>
      <w:r>
        <w:rPr>
          <w:rFonts w:ascii="Arial" w:cs="Arial" w:eastAsia="Arial" w:hAnsi="Arial"/>
          <w:b/>
          <w:bCs/>
          <w:color w:val="2E75B6"/>
          <w:sz w:val="36"/>
          <w:szCs w:val="36"/>
        </w:rPr>
        <w:t xml:space="preserve">Protocol Specification</w:t>
      </w:r>
    </w:p>
    <w:p>
      <w:pPr>
        <w:spacing w:before="0" w:after="480"/>
        <w:jc w:val="center"/>
      </w:pPr>
      <w:r>
        <w:rPr>
          <w:rFonts w:ascii="Arial" w:cs="Arial" w:eastAsia="Arial" w:hAnsi="Arial"/>
          <w:color w:val="595959"/>
          <w:sz w:val="22"/>
          <w:szCs w:val="22"/>
        </w:rPr>
        <w:t xml:space="preserve">Wire Protocols  •  State Machines  •  Message Formats  •  Sequence Flows</w:t>
      </w:r>
    </w:p>
    <w:p>
      <w:pPr>
        <w:spacing w:before="0" w:after="480"/>
        <w:jc w:val="center"/>
      </w:pPr>
      <w:r>
        <w:rPr>
          <w:rFonts w:ascii="Arial" w:cs="Arial" w:eastAsia="Arial" w:hAnsi="Arial"/>
          <w:color w:val="595959"/>
          <w:sz w:val="20"/>
          <w:szCs w:val="20"/>
        </w:rPr>
        <w:t xml:space="preserve">Version 1.1  |  DRAFT  |  March 2026  |  Go Minimum: 1.24</w:t>
      </w:r>
    </w:p>
    <w:p>
      <w:pPr>
        <w:shd w:fill="FCE4D6" w:val="clear"/>
        <w:spacing w:before="120" w:after="120"/>
      </w:pPr>
      <w:r>
        <w:rPr>
          <w:rFonts w:ascii="Arial" w:cs="Arial" w:eastAsia="Arial" w:hAnsi="Arial"/>
          <w:b/>
          <w:bCs/>
          <w:sz w:val="18"/>
          <w:szCs w:val="18"/>
        </w:rPr>
        <w:t xml:space="preserve">PURPOSE: This document defines canonical wire-level protocols for SafeGrowth Vault. It is the authoritative reference for all inter-node communication. When this document conflicts with the dev plan or whitepaper, this document governs.</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Summary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SafeGrowth Team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draft — covers Milestone 1 and 2 protocols. Milestone 3 stubs included.</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1.1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2026-03</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SafeGrowth Team</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NAS hardware support: add MAINTENANCE_WINDOW gossip type (Section 8.4); add storage capability fields to HANDSHAKE_HELLO (Section 5.4); add mDNS interface binding constraint (Section 6.1); add E-050 CLOCK_DRIFT_WARNING error code (Section 12); update Open Questions with Question 7 (capability hints) and Question 8 (PoR timeout for spinning-disk nodes); add PoR failure suppression during maintenance windows (Section 10.5)</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1. Overview &amp; Scope</w:t>
      </w:r>
    </w:p>
    <w:p>
      <w:pPr>
        <w:spacing w:before="80" w:after="80"/>
      </w:pPr>
      <w:r>
        <w:rPr>
          <w:rFonts w:ascii="Arial" w:cs="Arial" w:eastAsia="Arial" w:hAnsi="Arial"/>
          <w:color w:val="000000"/>
          <w:sz w:val="20"/>
          <w:szCs w:val="20"/>
        </w:rPr>
        <w:t xml:space="preserve">This specification covers all network protocols used between SafeGrowth Vault node daemons. Client-to-node communication (CLI REST/gRPC API, Flutter app) is covered in API_SPEC.md (TBD).</w:t>
      </w:r>
    </w:p>
    <w:p>
      <w:pPr>
        <w:pStyle w:val="Heading2"/>
        <w:spacing w:before="240" w:after="120"/>
      </w:pPr>
      <w:r>
        <w:rPr>
          <w:rFonts w:ascii="Arial" w:cs="Arial" w:eastAsia="Arial" w:hAnsi="Arial"/>
          <w:b/>
          <w:bCs/>
          <w:color w:val="2E75B6"/>
          <w:sz w:val="26"/>
          <w:szCs w:val="26"/>
        </w:rPr>
        <w:t xml:space="preserve">1.1 In Scope</w:t>
      </w:r>
    </w:p>
    <w:p>
      <w:pPr>
        <w:pStyle w:val="ListParagraph"/>
        <w:numPr>
          <w:ilvl w:val="0"/>
          <w:numId w:val="2"/>
        </w:numPr>
        <w:spacing w:before="40" w:after="40"/>
      </w:pPr>
      <w:r>
        <w:rPr>
          <w:rFonts w:ascii="Arial" w:cs="Arial" w:eastAsia="Arial" w:hAnsi="Arial"/>
          <w:sz w:val="20"/>
          <w:szCs w:val="20"/>
        </w:rPr>
        <w:t xml:space="preserve">Node-to-node transport framing and connection establishment</w:t>
      </w:r>
    </w:p>
    <w:p>
      <w:pPr>
        <w:pStyle w:val="ListParagraph"/>
        <w:numPr>
          <w:ilvl w:val="0"/>
          <w:numId w:val="2"/>
        </w:numPr>
        <w:spacing w:before="40" w:after="40"/>
      </w:pPr>
      <w:r>
        <w:rPr>
          <w:rFonts w:ascii="Arial" w:cs="Arial" w:eastAsia="Arial" w:hAnsi="Arial"/>
          <w:sz w:val="20"/>
          <w:szCs w:val="20"/>
        </w:rPr>
        <w:t xml:space="preserve">Identity handshake and mutual authentication</w:t>
      </w:r>
    </w:p>
    <w:p>
      <w:pPr>
        <w:pStyle w:val="ListParagraph"/>
        <w:numPr>
          <w:ilvl w:val="0"/>
          <w:numId w:val="2"/>
        </w:numPr>
        <w:spacing w:before="40" w:after="40"/>
      </w:pPr>
      <w:r>
        <w:rPr>
          <w:rFonts w:ascii="Arial" w:cs="Arial" w:eastAsia="Arial" w:hAnsi="Arial"/>
          <w:sz w:val="20"/>
          <w:szCs w:val="20"/>
        </w:rPr>
        <w:t xml:space="preserve">mDNS LAN discovery message format and interface binding</w:t>
      </w:r>
    </w:p>
    <w:p>
      <w:pPr>
        <w:pStyle w:val="ListParagraph"/>
        <w:numPr>
          <w:ilvl w:val="0"/>
          <w:numId w:val="2"/>
        </w:numPr>
        <w:spacing w:before="40" w:after="40"/>
      </w:pPr>
      <w:r>
        <w:rPr>
          <w:rFonts w:ascii="Arial" w:cs="Arial" w:eastAsia="Arial" w:hAnsi="Arial"/>
          <w:sz w:val="20"/>
          <w:szCs w:val="20"/>
        </w:rPr>
        <w:t xml:space="preserve">Invite token generation, transmission, and validation</w:t>
      </w:r>
    </w:p>
    <w:p>
      <w:pPr>
        <w:pStyle w:val="ListParagraph"/>
        <w:numPr>
          <w:ilvl w:val="0"/>
          <w:numId w:val="2"/>
        </w:numPr>
        <w:spacing w:before="40" w:after="40"/>
      </w:pPr>
      <w:r>
        <w:rPr>
          <w:rFonts w:ascii="Arial" w:cs="Arial" w:eastAsia="Arial" w:hAnsi="Arial"/>
          <w:sz w:val="20"/>
          <w:szCs w:val="20"/>
        </w:rPr>
        <w:t xml:space="preserve">Gossip message envelope and all gossip payload types including MAINTENANCE_WINDOW</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Shard placement negotiation and acknowledgement</w:t>
      </w:r>
    </w:p>
    <w:p>
      <w:pPr>
        <w:pStyle w:val="ListParagraph"/>
        <w:numPr>
          <w:ilvl w:val="0"/>
          <w:numId w:val="2"/>
        </w:numPr>
        <w:spacing w:before="40" w:after="40"/>
      </w:pPr>
      <w:r>
        <w:rPr>
          <w:rFonts w:ascii="Arial" w:cs="Arial" w:eastAsia="Arial" w:hAnsi="Arial"/>
          <w:sz w:val="20"/>
          <w:szCs w:val="20"/>
        </w:rPr>
        <w:t xml:space="preserve">Proof of Retrievability (PoR) challenge and response, including maintenance window suppression</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Credit epoch opening, claim, and consensus flow</w:t>
      </w:r>
    </w:p>
    <w:p>
      <w:pPr>
        <w:pStyle w:val="ListParagraph"/>
        <w:numPr>
          <w:ilvl w:val="0"/>
          <w:numId w:val="2"/>
        </w:numPr>
        <w:spacing w:before="40" w:after="40"/>
      </w:pPr>
      <w:r>
        <w:rPr>
          <w:rFonts w:ascii="Arial" w:cs="Arial" w:eastAsia="Arial" w:hAnsi="Arial"/>
          <w:sz w:val="20"/>
          <w:szCs w:val="20"/>
        </w:rPr>
        <w:t xml:space="preserve">Error codes and retry semantics including E-050 clock drift warning</w:t>
      </w:r>
      <w:r>
        <w:rPr>
          <w:rFonts w:ascii="Arial" w:cs="Arial" w:eastAsia="Arial" w:hAnsi="Arial"/>
          <w:b/>
          <w:bCs/>
          <w:color w:val="7F6000"/>
          <w:sz w:val="18"/>
          <w:szCs w:val="18"/>
        </w:rPr>
        <w:t xml:space="preserve"> [NAS]</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2. Versioning &amp;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Protocol Ver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Go Build Tag</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Additions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M1 - Local Testnet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proto_v1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mDNS, shard storage, basic REST</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M2 - Trusted Group</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proto_v2</w:t>
            </w:r>
          </w:p>
        </w:tc>
        <w:tc>
          <w:tcPr>
            <w:tcW w:type="dxa" w:w="4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mTLS, invite/join, gossip, credits, MAINTENANCE_WINDOW gossip type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M3 - Open Network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proto_v3</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ZK-PoR, full reputation, DHT</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3. Transport Layer</w:t>
      </w:r>
    </w:p>
    <w:p>
      <w:pPr>
        <w:pStyle w:val="Heading2"/>
        <w:spacing w:before="240" w:after="120"/>
      </w:pPr>
      <w:r>
        <w:rPr>
          <w:rFonts w:ascii="Arial" w:cs="Arial" w:eastAsia="Arial" w:hAnsi="Arial"/>
          <w:b/>
          <w:bCs/>
          <w:color w:val="2E75B6"/>
          <w:sz w:val="26"/>
          <w:szCs w:val="26"/>
        </w:rPr>
        <w:t xml:space="preserve">3.1 Primary: QUIC over UDP</w:t>
      </w:r>
    </w:p>
    <w:p>
      <w:pPr>
        <w:pStyle w:val="ListParagraph"/>
        <w:numPr>
          <w:ilvl w:val="0"/>
          <w:numId w:val="2"/>
        </w:numPr>
        <w:spacing w:before="40" w:after="40"/>
      </w:pPr>
      <w:r>
        <w:rPr>
          <w:rFonts w:ascii="Arial" w:cs="Arial" w:eastAsia="Arial" w:hAnsi="Arial"/>
          <w:sz w:val="20"/>
          <w:szCs w:val="20"/>
        </w:rPr>
        <w:t xml:space="preserve">All inter-node traffic uses QUIC (RFC 9000) over UDP. Default port: 4001 UDP.</w:t>
      </w:r>
    </w:p>
    <w:p>
      <w:pPr>
        <w:pStyle w:val="ListParagraph"/>
        <w:numPr>
          <w:ilvl w:val="0"/>
          <w:numId w:val="2"/>
        </w:numPr>
        <w:spacing w:before="40" w:after="40"/>
      </w:pPr>
      <w:r>
        <w:rPr>
          <w:rFonts w:ascii="Arial" w:cs="Arial" w:eastAsia="Arial" w:hAnsi="Arial"/>
          <w:sz w:val="20"/>
          <w:szCs w:val="20"/>
        </w:rPr>
        <w:t xml:space="preserve">TLS 1.3 mandatory at QUIC layer; certificate derived from node ML-DSA keypair.</w:t>
      </w:r>
    </w:p>
    <w:p>
      <w:pPr>
        <w:pStyle w:val="ListParagraph"/>
        <w:numPr>
          <w:ilvl w:val="0"/>
          <w:numId w:val="2"/>
        </w:numPr>
        <w:spacing w:before="40" w:after="40"/>
      </w:pPr>
      <w:r>
        <w:rPr>
          <w:rFonts w:ascii="Arial" w:cs="Arial" w:eastAsia="Arial" w:hAnsi="Arial"/>
          <w:sz w:val="20"/>
          <w:szCs w:val="20"/>
        </w:rPr>
        <w:t xml:space="preserve">Maximum QUIC stream concurrency: 256 bidirectional streams per connection.</w:t>
      </w:r>
    </w:p>
    <w:p>
      <w:pPr>
        <w:pStyle w:val="ListParagraph"/>
        <w:numPr>
          <w:ilvl w:val="0"/>
          <w:numId w:val="2"/>
        </w:numPr>
        <w:spacing w:before="40" w:after="40"/>
      </w:pPr>
      <w:r>
        <w:rPr>
          <w:rFonts w:ascii="Arial" w:cs="Arial" w:eastAsia="Arial" w:hAnsi="Arial"/>
          <w:sz w:val="20"/>
          <w:szCs w:val="20"/>
        </w:rPr>
        <w:t xml:space="preserve">Idle connection timeout: 120 seconds. Keepalive PING every 30 seconds.</w:t>
      </w:r>
    </w:p>
    <w:p>
      <w:pPr>
        <w:pStyle w:val="Heading2"/>
        <w:spacing w:before="240" w:after="120"/>
      </w:pPr>
      <w:r>
        <w:rPr>
          <w:rFonts w:ascii="Arial" w:cs="Arial" w:eastAsia="Arial" w:hAnsi="Arial"/>
          <w:b/>
          <w:bCs/>
          <w:color w:val="2E75B6"/>
          <w:sz w:val="26"/>
          <w:szCs w:val="26"/>
        </w:rPr>
        <w:t xml:space="preserve">3.2 Fallback: TCP</w:t>
      </w:r>
    </w:p>
    <w:p>
      <w:pPr>
        <w:pStyle w:val="ListParagraph"/>
        <w:numPr>
          <w:ilvl w:val="0"/>
          <w:numId w:val="2"/>
        </w:numPr>
        <w:spacing w:before="40" w:after="40"/>
      </w:pPr>
      <w:r>
        <w:rPr>
          <w:rFonts w:ascii="Arial" w:cs="Arial" w:eastAsia="Arial" w:hAnsi="Arial"/>
          <w:sz w:val="20"/>
          <w:szCs w:val="20"/>
        </w:rPr>
        <w:t xml:space="preserve">TCP fallback when peer unreachable over UDP after 10 seconds. Default ports: 4001 (primary), 4002 (fallback). TLS 1.3 with same certificate.</w:t>
      </w:r>
    </w:p>
    <w:p>
      <w:pPr>
        <w:pStyle w:val="Heading2"/>
        <w:spacing w:before="240" w:after="120"/>
      </w:pPr>
      <w:r>
        <w:rPr>
          <w:rFonts w:ascii="Arial" w:cs="Arial" w:eastAsia="Arial" w:hAnsi="Arial"/>
          <w:b/>
          <w:bCs/>
          <w:color w:val="2E75B6"/>
          <w:sz w:val="26"/>
          <w:szCs w:val="26"/>
        </w:rPr>
        <w:t xml:space="preserve">3.3 Relay Mode</w:t>
      </w:r>
    </w:p>
    <w:p>
      <w:pPr>
        <w:pStyle w:val="ListParagraph"/>
        <w:numPr>
          <w:ilvl w:val="0"/>
          <w:numId w:val="2"/>
        </w:numPr>
        <w:spacing w:before="40" w:after="40"/>
      </w:pPr>
      <w:r>
        <w:rPr>
          <w:rFonts w:ascii="Arial" w:cs="Arial" w:eastAsia="Arial" w:hAnsi="Arial"/>
          <w:sz w:val="20"/>
          <w:szCs w:val="20"/>
        </w:rPr>
        <w:t xml:space="preserve">Relay nodes forward encrypted QUIC packets without decryption (E2EE preserved).</w:t>
      </w:r>
    </w:p>
    <w:p>
      <w:pPr>
        <w:pStyle w:val="ListParagraph"/>
        <w:numPr>
          <w:ilvl w:val="0"/>
          <w:numId w:val="2"/>
        </w:numPr>
        <w:spacing w:before="40" w:after="40"/>
      </w:pPr>
      <w:r>
        <w:rPr>
          <w:rFonts w:ascii="Arial" w:cs="Arial" w:eastAsia="Arial" w:hAnsi="Arial"/>
          <w:sz w:val="20"/>
          <w:szCs w:val="20"/>
        </w:rPr>
        <w:t xml:space="preserve">Relay session identified by 16-byte token. Max bandwidth: 10 Mbps per session (configurable).</w:t>
      </w:r>
    </w:p>
    <w:p>
      <w:pPr>
        <w:pStyle w:val="Heading2"/>
        <w:spacing w:before="240" w:after="120"/>
      </w:pPr>
      <w:r>
        <w:rPr>
          <w:rFonts w:ascii="Arial" w:cs="Arial" w:eastAsia="Arial" w:hAnsi="Arial"/>
          <w:b/>
          <w:bCs/>
          <w:color w:val="2E75B6"/>
          <w:sz w:val="26"/>
          <w:szCs w:val="26"/>
        </w:rPr>
        <w:t xml:space="preserve">3.4 Message Framing</w:t>
      </w:r>
    </w:p>
    <w:p>
      <w:pPr>
        <w:spacing w:before="80" w:after="80"/>
      </w:pPr>
      <w:r>
        <w:rPr>
          <w:rFonts w:ascii="Arial" w:cs="Arial" w:eastAsia="Arial" w:hAnsi="Arial"/>
          <w:color w:val="000000"/>
          <w:sz w:val="20"/>
          <w:szCs w:val="20"/>
        </w:rPr>
        <w:t xml:space="preserve">All messages are length-prefixed. 8-byte frame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5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Bytes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uint32 BE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of protobuf payload in bytes (excluding header)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version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uint8</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Negotiated protocol version for this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msg_type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uint8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Message type identifier (see Section 4.2)</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6-7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reserved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uint16</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Reserved, must be 0x0000. Non-zero triggers E-010.</w:t>
            </w:r>
          </w:p>
        </w:tc>
      </w:tr>
    </w:tbl>
    <w:p>
      <w:pPr>
        <w:spacing w:before="80" w:after="80"/>
      </w:pPr>
      <w:r>
        <w:rPr>
          <w:rFonts w:ascii="Arial" w:cs="Arial" w:eastAsia="Arial" w:hAnsi="Arial"/>
          <w:color w:val="000000"/>
          <w:sz w:val="20"/>
          <w:szCs w:val="20"/>
        </w:rPr>
        <w:t xml:space="preserve">MAX MESSAGE SIZE: 1 MB (1,048,576 bytes). Messages exceeding this are rejected with E-003 and sending peer's rate limit counter is incremented (GP-09).</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4. Message Envelope</w:t>
      </w:r>
    </w:p>
    <w:p>
      <w:pPr>
        <w:pStyle w:val="Heading2"/>
        <w:spacing w:before="240" w:after="120"/>
      </w:pPr>
      <w:r>
        <w:rPr>
          <w:rFonts w:ascii="Arial" w:cs="Arial" w:eastAsia="Arial" w:hAnsi="Arial"/>
          <w:b/>
          <w:bCs/>
          <w:color w:val="2E75B6"/>
          <w:sz w:val="26"/>
          <w:szCs w:val="26"/>
        </w:rPr>
        <w:t xml:space="preserve">4.2 Message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 Version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0x01</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HANDSHAKE_HELLO</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v1</w:t>
            </w:r>
          </w:p>
        </w:tc>
        <w:tc>
          <w:tcPr>
            <w:tcW w:type="dxa" w:w="4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Initial connection, version negotiation. Now includes optional storage capability fields.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0x02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HANDSHAKE_ACK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Handshake acknowledgement</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0x10</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PEER_ANNOUNCE</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v1</w:t>
            </w:r>
          </w:p>
        </w:tc>
        <w:tc>
          <w:tcPr>
            <w:tcW w:type="dxa" w:w="4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mDNS-style LAN peer announcement. Must be sent on default-route interface only.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0x11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PEER_LIST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Response carrying trusted peer list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0x20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INVITE_TOKEN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Invite token payload for join flow</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0x21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JOIN_REQUEST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New node join request referencing invite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0x22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JOIN_ACK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Join acceptance, carries trusted peer list</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0x30</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GOSSIP_UPDATE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General-purpose gossip payload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0x40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SHARD_PLACE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 shard on remote node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0x41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SHARD_PLACE_ACK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Shard placement acknowledgement / rejection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0x42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SHARD_FETCH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Request retrieval of a shard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0x43</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SHARD_FETCH_RESP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Shard data in response to SHARD_FETCH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0x50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POR_CHALLENGE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Proof of Retrievability challenge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0x51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POR_RESPONSE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v3</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Response to PoR challenge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0x60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CREDIT_CLAIM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accrual claim for consensus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0x61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CREDIT_EPOCH_OPEN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Announce new credit epoch with sequence number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0xFF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response (see Section 12)</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5. Identity &amp; Handshake Protocol</w:t>
      </w:r>
    </w:p>
    <w:p>
      <w:pPr>
        <w:pStyle w:val="Heading2"/>
        <w:spacing w:before="240" w:after="120"/>
      </w:pPr>
      <w:r>
        <w:rPr>
          <w:rFonts w:ascii="Arial" w:cs="Arial" w:eastAsia="Arial" w:hAnsi="Arial"/>
          <w:b/>
          <w:bCs/>
          <w:color w:val="2E75B6"/>
          <w:sz w:val="26"/>
          <w:szCs w:val="26"/>
        </w:rPr>
        <w:t xml:space="preserve">5.4 HANDSHAKE_HELLO Message [UPDATED for NAS]</w:t>
      </w:r>
    </w:p>
    <w:p>
      <w:pPr>
        <w:shd w:fill="FFF2CC" w:val="clear"/>
        <w:spacing w:before="80" w:after="80"/>
      </w:pPr>
      <w:r>
        <w:rPr>
          <w:rFonts w:ascii="Arial" w:cs="Arial" w:eastAsia="Arial" w:hAnsi="Arial"/>
          <w:i/>
          <w:iCs/>
          <w:sz w:val="18"/>
          <w:szCs w:val="18"/>
        </w:rPr>
        <w:t xml:space="preserve">v1.1 UPDATE: Added optional storage capability fields (storage_type, cache_present) for NAS hardware classification per NF-18. Receivers MUST accept HANDSHAKE_HELLO messages that omit these fields — absence is treated as unknown, not an error.</w:t>
      </w:r>
    </w:p>
    <w:p>
      <w:pPr>
        <w:spacing w:before="40" w:after="40"/>
        <w:ind w:left="360"/>
      </w:pPr>
      <w:r>
        <w:rPr>
          <w:rFonts w:ascii="Courier New" w:cs="Courier New" w:eastAsia="Courier New" w:hAnsi="Courier New"/>
          <w:color w:val="2E4057"/>
          <w:sz w:val="18"/>
          <w:szCs w:val="18"/>
        </w:rPr>
        <w:t xml:space="preserve">message HandshakeHello {</w:t>
      </w:r>
    </w:p>
    <w:p>
      <w:pPr>
        <w:spacing w:before="40" w:after="40"/>
        <w:ind w:left="360"/>
      </w:pPr>
      <w:r>
        <w:rPr>
          <w:rFonts w:ascii="Courier New" w:cs="Courier New" w:eastAsia="Courier New" w:hAnsi="Courier New"/>
          <w:color w:val="2E4057"/>
          <w:sz w:val="18"/>
          <w:szCs w:val="18"/>
        </w:rPr>
        <w:t xml:space="preserve">  uint32 min_version    = 1;  // Minimum protocol version supported</w:t>
      </w:r>
    </w:p>
    <w:p>
      <w:pPr>
        <w:spacing w:before="40" w:after="40"/>
        <w:ind w:left="360"/>
      </w:pPr>
      <w:r>
        <w:rPr>
          <w:rFonts w:ascii="Courier New" w:cs="Courier New" w:eastAsia="Courier New" w:hAnsi="Courier New"/>
          <w:color w:val="2E4057"/>
          <w:sz w:val="18"/>
          <w:szCs w:val="18"/>
        </w:rPr>
        <w:t xml:space="preserve">  uint32 max_version    = 2;  // Maximum protocol version supported</w:t>
      </w:r>
    </w:p>
    <w:p>
      <w:pPr>
        <w:spacing w:before="40" w:after="40"/>
        <w:ind w:left="360"/>
      </w:pPr>
      <w:r>
        <w:rPr>
          <w:rFonts w:ascii="Courier New" w:cs="Courier New" w:eastAsia="Courier New" w:hAnsi="Courier New"/>
          <w:color w:val="2E4057"/>
          <w:sz w:val="18"/>
          <w:szCs w:val="18"/>
        </w:rPr>
        <w:t xml:space="preserve">  string node_id        = 3;  // Sender NodeID</w:t>
      </w:r>
    </w:p>
    <w:p>
      <w:pPr>
        <w:spacing w:before="40" w:after="40"/>
        <w:ind w:left="360"/>
      </w:pPr>
      <w:r>
        <w:rPr>
          <w:rFonts w:ascii="Courier New" w:cs="Courier New" w:eastAsia="Courier New" w:hAnsi="Courier New"/>
          <w:color w:val="2E4057"/>
          <w:sz w:val="18"/>
          <w:szCs w:val="18"/>
        </w:rPr>
        <w:t xml:space="preserve">  bytes  mldsa_pubkey   = 4;  // Full ML-DSA-65 public key bytes</w:t>
      </w:r>
    </w:p>
    <w:p>
      <w:pPr>
        <w:spacing w:before="40" w:after="40"/>
        <w:ind w:left="360"/>
      </w:pPr>
      <w:r>
        <w:rPr>
          <w:rFonts w:ascii="Courier New" w:cs="Courier New" w:eastAsia="Courier New" w:hAnsi="Courier New"/>
          <w:color w:val="2E4057"/>
          <w:sz w:val="18"/>
          <w:szCs w:val="18"/>
        </w:rPr>
        <w:t xml:space="preserve">  bytes  mlkem_pubkey   = 5;  // Full ML-KEM-768 public key bytes</w:t>
      </w:r>
    </w:p>
    <w:p>
      <w:pPr>
        <w:spacing w:before="40" w:after="40"/>
        <w:ind w:left="360"/>
      </w:pPr>
      <w:r>
        <w:rPr>
          <w:rFonts w:ascii="Courier New" w:cs="Courier New" w:eastAsia="Courier New" w:hAnsi="Courier New"/>
          <w:color w:val="2E4057"/>
          <w:sz w:val="18"/>
          <w:szCs w:val="18"/>
        </w:rPr>
        <w:t xml:space="preserve">  string ip_port        = 6;  // Sender's observed external IP:port</w:t>
      </w:r>
    </w:p>
    <w:p>
      <w:pPr>
        <w:spacing w:before="40" w:after="40"/>
        <w:ind w:left="360"/>
      </w:pPr>
      <w:r>
        <w:rPr>
          <w:rFonts w:ascii="Courier New" w:cs="Courier New" w:eastAsia="Courier New" w:hAnsi="Courier New"/>
          <w:color w:val="2E4057"/>
          <w:sz w:val="18"/>
          <w:szCs w:val="18"/>
        </w:rPr>
        <w:t xml:space="preserve">  string user_agent     = 7;  // e.g. safegrowth-node/1.0.0 go1.24.0 linux/amd64</w:t>
      </w:r>
    </w:p>
    <w:p>
      <w:pPr>
        <w:spacing w:before="40" w:after="40"/>
        <w:ind w:left="360"/>
      </w:pPr>
      <w:r>
        <w:rPr>
          <w:rFonts w:ascii="Courier New" w:cs="Courier New" w:eastAsia="Courier New" w:hAnsi="Courier New"/>
          <w:color w:val="2E4057"/>
          <w:sz w:val="18"/>
          <w:szCs w:val="18"/>
        </w:rPr>
        <w:t xml:space="preserve">  // [NEW v1.1] Optional NAS capability advertisement (NF-18)</w:t>
      </w:r>
    </w:p>
    <w:p>
      <w:pPr>
        <w:spacing w:before="40" w:after="40"/>
        <w:ind w:left="360"/>
      </w:pPr>
      <w:r>
        <w:rPr>
          <w:rFonts w:ascii="Courier New" w:cs="Courier New" w:eastAsia="Courier New" w:hAnsi="Courier New"/>
          <w:color w:val="2E4057"/>
          <w:sz w:val="18"/>
          <w:szCs w:val="18"/>
        </w:rPr>
        <w:t xml:space="preserve">  string storage_type   = 8;  // Optional: spinning | ssd | nvme (omit = unknown)</w:t>
      </w:r>
    </w:p>
    <w:p>
      <w:pPr>
        <w:spacing w:before="40" w:after="40"/>
        <w:ind w:left="360"/>
      </w:pPr>
      <w:r>
        <w:rPr>
          <w:rFonts w:ascii="Courier New" w:cs="Courier New" w:eastAsia="Courier New" w:hAnsi="Courier New"/>
          <w:color w:val="2E4057"/>
          <w:sz w:val="18"/>
          <w:szCs w:val="18"/>
        </w:rPr>
        <w:t xml:space="preserve">  bool   cache_present  = 9;  // Optional: true if SSD/NVMe cache present (omit = unknown)</w:t>
      </w:r>
    </w:p>
    <w:p>
      <w:pPr>
        <w:spacing w:before="40" w:after="40"/>
        <w:ind w:left="360"/>
      </w:pPr>
      <w:r>
        <w:rPr>
          <w:rFonts w:ascii="Courier New" w:cs="Courier New" w:eastAsia="Courier New" w:hAnsi="Courier New"/>
          <w:color w:val="2E4057"/>
          <w:sz w:val="18"/>
          <w:szCs w:val="18"/>
        </w:rPr>
        <w:t xml:space="preserve">}</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6. mDNS Peer Discovery Protocol</w:t>
      </w:r>
    </w:p>
    <w:p>
      <w:pPr>
        <w:pStyle w:val="Heading2"/>
        <w:spacing w:before="240" w:after="120"/>
      </w:pPr>
      <w:r>
        <w:rPr>
          <w:rFonts w:ascii="Arial" w:cs="Arial" w:eastAsia="Arial" w:hAnsi="Arial"/>
          <w:b/>
          <w:bCs/>
          <w:color w:val="2E75B6"/>
          <w:sz w:val="26"/>
          <w:szCs w:val="26"/>
        </w:rPr>
        <w:t xml:space="preserve">6.1 Service Definition [UPDATED for NAS]</w:t>
      </w:r>
    </w:p>
    <w:p>
      <w:pPr>
        <w:pStyle w:val="ListParagraph"/>
        <w:numPr>
          <w:ilvl w:val="0"/>
          <w:numId w:val="2"/>
        </w:numPr>
        <w:spacing w:before="40" w:after="40"/>
      </w:pPr>
      <w:r>
        <w:rPr>
          <w:rFonts w:ascii="Arial" w:cs="Arial" w:eastAsia="Arial" w:hAnsi="Arial"/>
          <w:sz w:val="20"/>
          <w:szCs w:val="20"/>
        </w:rPr>
        <w:t xml:space="preserve">Service type: _safegrowth._udp.local.</w:t>
      </w:r>
    </w:p>
    <w:p>
      <w:pPr>
        <w:pStyle w:val="ListParagraph"/>
        <w:numPr>
          <w:ilvl w:val="0"/>
          <w:numId w:val="2"/>
        </w:numPr>
        <w:spacing w:before="40" w:after="40"/>
      </w:pPr>
      <w:r>
        <w:rPr>
          <w:rFonts w:ascii="Arial" w:cs="Arial" w:eastAsia="Arial" w:hAnsi="Arial"/>
          <w:sz w:val="20"/>
          <w:szCs w:val="20"/>
        </w:rPr>
        <w:t xml:space="preserve">Instance name: {NodeID}.safegrowth.local. (first 16 hex chars for readability)</w:t>
      </w:r>
    </w:p>
    <w:p>
      <w:pPr>
        <w:pStyle w:val="ListParagraph"/>
        <w:numPr>
          <w:ilvl w:val="0"/>
          <w:numId w:val="2"/>
        </w:numPr>
        <w:spacing w:before="40" w:after="40"/>
      </w:pPr>
      <w:r>
        <w:rPr>
          <w:rFonts w:ascii="Arial" w:cs="Arial" w:eastAsia="Arial" w:hAnsi="Arial"/>
          <w:sz w:val="20"/>
          <w:szCs w:val="20"/>
        </w:rPr>
        <w:t xml:space="preserve">TXT record fields: v=1, id={NodeID}, port={port}, tier={anchor|mid|edge}</w:t>
      </w:r>
    </w:p>
    <w:p>
      <w:pPr>
        <w:shd w:fill="FFF2CC" w:val="clear"/>
        <w:spacing w:before="80" w:after="80"/>
      </w:pPr>
      <w:r>
        <w:rPr>
          <w:rFonts w:ascii="Arial" w:cs="Arial" w:eastAsia="Arial" w:hAnsi="Arial"/>
          <w:sz w:val="18"/>
          <w:szCs w:val="18"/>
        </w:rPr>
        <w:t xml:space="preserve">v1.1 CONSTRAINT: Implementations MUST bind mDNS to the interface with the default route. Docker bridge interfaces (docker0, br-*, veth*) MUST be automatically excluded. On NAS systems running the daemon in Docker with --network host, the physical NIC is used directly and this constraint is satisfied automatically. On systems with multiple physical NICs, prefer the interface with the lowest-metric default route. If auto-detection fails, log an ERROR and fall back to all interfaces (not docker bridges). This prevents NAS Docker deployments from announcing on the wrong interface and confining peer discovery to the container bridge network.</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8. Gossip Protocol</w:t>
      </w:r>
    </w:p>
    <w:p>
      <w:pPr>
        <w:pStyle w:val="Heading2"/>
        <w:spacing w:before="240" w:after="120"/>
      </w:pPr>
      <w:r>
        <w:rPr>
          <w:rFonts w:ascii="Arial" w:cs="Arial" w:eastAsia="Arial" w:hAnsi="Arial"/>
          <w:b/>
          <w:bCs/>
          <w:color w:val="2E75B6"/>
          <w:sz w:val="26"/>
          <w:szCs w:val="26"/>
        </w:rPr>
        <w:t xml:space="preserve">8.4 Gossip Item Types [UPDATED — MAINTENANCE_WINDOW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GossipType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 Version</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Payload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PEER_ANNOUNCE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NodeID, IP:port, tier, pubkeys. Max 1 per node per 30 seconds.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NEW_TRUSTED_PEER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v2</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Full PeerEntry for a newly joined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INVITE_CONSUMED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Invite token nonce marked as used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SHARD_PLACEMENT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v1</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ShardID, holder NodeID, erasure scheme,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CREDIT_UPDATE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Signed credit ledger entry (epoch seq, amount, type)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REPUTATION_UPDATE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v3</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Observer's signed reputation score for a peer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NODE_REVOCATION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NodeID, revocation reason, issuer signature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POR_FAILURE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v3</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ShardID, holder NodeID, challenge details, verifier signature</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MAINTENANCE_WINDOW [NEW][NAS]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v2</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Signed maintenance declaration: node_id, start_ms, end_ms, reason (free text, max 256 chars), seq_num (monotonic per node). Verifiers receiving this item MUST suppress PoR failure reputation penalties for the declaring node during the declared window. Receivers validate: (1) signature by declaring node, (2) start_ms &lt;= now &lt;= end_ms for suppression, (3) window duration &lt;= 48 hours, (4) node has not exceeded 2 declarations in last 7 days (tracked locally per node). Window max 48h. Rate limit: 2 per 7-day rolling window.</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10. Proof of Retrievability (PoR) Protocol</w:t>
      </w:r>
    </w:p>
    <w:p>
      <w:pPr>
        <w:pStyle w:val="Heading2"/>
        <w:spacing w:before="240" w:after="120"/>
      </w:pPr>
      <w:r>
        <w:rPr>
          <w:rFonts w:ascii="Arial" w:cs="Arial" w:eastAsia="Arial" w:hAnsi="Arial"/>
          <w:b/>
          <w:bCs/>
          <w:color w:val="2E75B6"/>
          <w:sz w:val="26"/>
          <w:szCs w:val="26"/>
        </w:rPr>
        <w:t xml:space="preserve">10.5 Failure Handling [UPDATED for NAS Maintenance Mode]</w:t>
      </w:r>
    </w:p>
    <w:p>
      <w:pPr>
        <w:pStyle w:val="ListParagraph"/>
        <w:numPr>
          <w:ilvl w:val="0"/>
          <w:numId w:val="2"/>
        </w:numPr>
        <w:spacing w:before="40" w:after="40"/>
      </w:pPr>
      <w:r>
        <w:rPr>
          <w:rFonts w:ascii="Arial" w:cs="Arial" w:eastAsia="Arial" w:hAnsi="Arial"/>
          <w:sz w:val="20"/>
          <w:szCs w:val="20"/>
        </w:rPr>
        <w:t xml:space="preserve">Response not received within timeout: count as failed challenge.</w:t>
      </w:r>
    </w:p>
    <w:p>
      <w:pPr>
        <w:pStyle w:val="ListParagraph"/>
        <w:numPr>
          <w:ilvl w:val="0"/>
          <w:numId w:val="2"/>
        </w:numPr>
        <w:spacing w:before="40" w:after="40"/>
      </w:pPr>
      <w:r>
        <w:rPr>
          <w:rFonts w:ascii="Arial" w:cs="Arial" w:eastAsia="Arial" w:hAnsi="Arial"/>
          <w:sz w:val="20"/>
          <w:szCs w:val="20"/>
        </w:rPr>
        <w:t xml:space="preserve">response_hash does not match verifier's expected_hash: count as failed challenge.</w:t>
      </w:r>
    </w:p>
    <w:p>
      <w:pPr>
        <w:shd w:fill="FFF2CC" w:val="clear"/>
        <w:spacing w:before="80" w:after="80"/>
      </w:pPr>
      <w:r>
        <w:rPr>
          <w:rFonts w:ascii="Arial" w:cs="Arial" w:eastAsia="Arial" w:hAnsi="Arial"/>
          <w:sz w:val="18"/>
          <w:szCs w:val="18"/>
        </w:rPr>
        <w:t xml:space="preserve">v1.1 UPDATE — Maintenance Window Suppression: Before counting a failed challenge against a node's reputation streak, the verifier MUST check whether a valid MAINTENANCE_WINDOW gossip item has been received for that node covering the current timestamp. If a valid maintenance window is active, the verifier MUST NOT gossip a POR_FAILURE item and MUST NOT increment the node's failure streak counter. The verifier MAY log the suppressed failure locally for diagnostic purposes. A maintenance window is considered valid if: (1) the MAINTENANCE_WINDOW gossip item is signed by the declaring node, (2) the current timestamp falls within start_ms and end_ms, (3) the declaration has not been rate-limit-rejected.</w:t>
      </w:r>
    </w:p>
    <w:p>
      <w:pPr>
        <w:pStyle w:val="ListParagraph"/>
        <w:numPr>
          <w:ilvl w:val="0"/>
          <w:numId w:val="2"/>
        </w:numPr>
        <w:spacing w:before="40" w:after="40"/>
      </w:pPr>
      <w:r>
        <w:rPr>
          <w:rFonts w:ascii="Arial" w:cs="Arial" w:eastAsia="Arial" w:hAnsi="Arial"/>
          <w:sz w:val="20"/>
          <w:szCs w:val="20"/>
        </w:rPr>
        <w:t xml:space="preserve">3 consecutive failures outside maintenance windows -&gt; replication manager triggers shard migration.</w:t>
      </w:r>
    </w:p>
    <w:p>
      <w:pPr>
        <w:shd w:fill="FFF2CC" w:val="clear"/>
        <w:spacing w:before="80" w:after="80"/>
      </w:pPr>
      <w:r>
        <w:rPr>
          <w:rFonts w:ascii="Arial" w:cs="Arial" w:eastAsia="Arial" w:hAnsi="Arial"/>
          <w:sz w:val="18"/>
          <w:szCs w:val="18"/>
        </w:rPr>
        <w:t xml:space="preserve">v1.1 UPDATE — Spinning Disk PoR Timeout: When a shard holder has advertised storage_type=spinning (HANDSHAKE_HELLO field 8) and cache_present=false (field 9), verifiers SHOULD allow a 15-second response window instead of the standard 5 seconds. This accommodates NAS nodes with spinning-rust HDDs that require seek time. Verifiers that do not receive the capability advertisement use the standard 5-second timeout. This is a SHOULD, not a MUST, to preserve backwards compatibility.</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12. Error Codes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000"/>
        <w:gridCol w:w="4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Fatal</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VERSION_INCOMPATIBLE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common protocol version. Connection rejected.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E-002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UNKNOWN_MESSAGE_TYPE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msg_type not in registry. Message dropped.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E-003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MESSAGE_TOO_LARGE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Payload exceeds 1 MB limit. Peer ban counter incremented.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E-004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UNKNOWN_SENDER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Sender NodeID not in trusted peer table.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E-005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TIMESTAMP_OUT_OF_WINDOW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Message timestamp &gt;30s from local time. Replay suspected.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E-006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INVALID_SIGNATURE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ML-DSA signature verification failed. Connection closed.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E-007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INVITE_EXPIRED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Invite token past expiry timestamp.</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E-008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INVITE_CONSUMED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Invite token nonce already used.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E-009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QUOTA_EXCEEDED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 has insufficient storage quota to accept shard.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E-010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UNKNOWN_FIELD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Unknown field present in envelope (logged, not fatal).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E-011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RATE_LIMIT_EXCEEDED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Gossip rate limit exceeded. Peer ban counter incremented.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E-020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SHARD_CHECKSUM_FAIL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Received shard Merkle hash does not match declared hash.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E-030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POR_TIMEOUT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 challenge response not received within timeout window.</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E-031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POR_HASH_MISMATCH</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PoR response hash does not match verifier expected hash.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E-040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CREDIT_EPOCH_MISMATCH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claim references wrong epoch sequence number.</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E-041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CREDIT_ZK_INVALID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ZK-PoR proof attached to credit claim is invalid.</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E-050 [NEW][NAS]</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CLOCK_DRIFT_WARNING</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NO</w:t>
            </w:r>
          </w:p>
        </w:tc>
        <w:tc>
          <w:tcPr>
            <w:tcW w:type="dxa" w:w="4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Non-fatal warning logged when incoming peer timestamp delta exceeds 25 seconds (5 seconds before the E-005 hard rejection threshold). Prompts operator to verify NTP synchronisation on the node whose messages are approaching the rejection window. Not sent to peer; logged locally only.</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14. Open Questions &amp; Deferred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160"/>
        <w:gridCol w:w="1800"/>
        <w:gridCol w:w="17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 SHARD_FETCH support partial range requests for large shards?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Affects PoR and retrieval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TBD</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Maximum trusted peer table size before DHT required?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Memory on Pi 3B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 8</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Push-only, pull-only, or push-pull anti-entropy for gossip?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GP-05 (anti-entropy)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TBD</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How to batch credit claims for consensus to avoid O(n) rounds?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CL-02 scalability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 9</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Canonical encoding for ML-DSA signatures — raw bytes or 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Interop between team members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Glenn</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Should HANDSHAKE_HELLO include PoW field for Phase 3 Sybil resistance, or only at join layer?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Weeks 11-12 Sybil design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 10</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TBD</w:t>
            </w:r>
          </w:p>
        </w:tc>
      </w:tr>
      <w:tr>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7 [NEW][NAS]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Should storage capability fields (storage_type, cache_present) in HANDSHAKE_HELLO be formally versioned with a min_version=2 restriction, or allowed as optional extensions in v1 messages? Optional extension avoids a protocol version bump but complicates field presence detection.</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NF-18, capability advertisement compatibility</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Week 5</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Glenn</w:t>
            </w:r>
          </w:p>
        </w:tc>
      </w:tr>
      <w:tr>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8 [NEW][NAS]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Should the 15-second spinning-disk PoR timeout be a MUST (protocol-level obligation on all verifiers) or a SHOULD (implementation hint)? Making it MUST protects NAS operators but creates an attack surface where nodes lie about storage_type to get a more lenient timeout. If SHOULD, what evidence can verifiers use to detect false storage_type claims?</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PR-03, NAS PoR fairness vs attack surface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Week 13</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TBD</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Protocol Spec v1.1 | Internal Draft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SafeGrowth Vault — Protocol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2026-03-19T10:04:31.452Z</dcterms:created>
  <dcterms:modified xsi:type="dcterms:W3CDTF">2026-03-19T10:04:31.453Z</dcterms:modified>
</cp:coreProperties>
</file>

<file path=docProps/custom.xml><?xml version="1.0" encoding="utf-8"?>
<Properties xmlns="http://schemas.openxmlformats.org/officeDocument/2006/custom-properties" xmlns:vt="http://schemas.openxmlformats.org/officeDocument/2006/docPropsVTypes"/>
</file>