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SafeGrowth Vault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95959"/>
          <w:sz w:val="32"/>
          <w:szCs w:val="32"/>
        </w:rPr>
        <w:t xml:space="preserve">Architecture Decision Record</w:t>
      </w:r>
    </w:p>
    <w:p>
      <w:pPr>
        <w:shd w:fill="E2EFDA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ADR-010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Credit System Without Cryptocurrency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Non-transferable internal credits inspired by BitTorrent tit-for-tat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ADR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ADR-010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Deciders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Glenn + remote collaborators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SRD References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CL-01 through CL-09, Section 8 Constraints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v1.1 Update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 Anchor credit rate (+0.75/hr) added — see Section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Related ADRs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ADR-008 (PBFT-lite Consensus), ADR-009 (No Central Servers), ADR-011 (Super Anchor tier)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Context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SafeGrowth Vault needs a contribution-accounting mechanism that rewards nodes for storing data and providing uptime, and throttles nodes that consume without contributing. Without this, the network is vulnerable to free-riding.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obvious existing models are cryptocurrency-based (Filecoin/FIL, Sia/Siacoin, Storj/STORJ). The SRD constraint is explicit: 'No cryptocurrency, blockchain, or token mechanisms' (Section 8). The reasons: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Token volatility makes the system's economic parameters unpredictable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Cryptocurrency requirements add technical and legal complexity for ordinary users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Cryptocurrency exchanges create regulatory exposure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Existing token-based systems have struggled with free-rider problems and market manipulation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The system is intended for personal and small-group use first — cryptocurrency is overkill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Decision</w:t>
      </w:r>
    </w:p>
    <w:p>
      <w:pPr>
        <w:shd w:fill="E2EFDA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 a non-transferable, non-tradable internal credit system inspired by BitTorrent's tit-for-tat mechanism. Credits are internal accounting units, not financial instruments.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Credit Accrual 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for others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 credit/GB/month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shard + verified uptime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 Anchor uptime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+0.75 credits/hr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Reputation &gt;= 0.6; tier = super_anchor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Anchor uptime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+0.50 credits/hr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Reputation &gt;= 0.6; tier = anchor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Mid-tier uptime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+0.25 credits/hr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Reputation &gt;= 0.6; tier = mid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Probation period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credits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72 hours after join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 any claim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above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ZK-PoR proof REQUIRED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Credit Spending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Priority bandwidth during retrieval — nodes with higher credit balance get faster shard retrieval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Faster re-replication after data loss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Core Properties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Credits exist only within the SafeGrowth network — no external exchange mechanism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Non-transferable between nodes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Capped per epoch via PBFT-lite consensus (ADR-008)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Contribution accounting tracks bytes-stored-for-others vs bytes-stored-by-others; persistent net takers are throttled (not blocked)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Anti-Gaming Mechanisms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 Mitigated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ZK-PoR proof required (Phase 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claim credits for shards you do not 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72-hour probation 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Prevents rapid Sybil farming — new nodes earn zero credits for first 72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Epoch caps via consensus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Prevents runaway credit accumulation — capped per node per epoch by PBFT quorum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Reputation dependency (&gt;= 0.6 required)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Poor behaviour (PoR failures, downtime) cuts off credit earning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BFT consensus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credit claims validated by BFT quorum — single node cannot self-issue credits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Consequences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Positive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No token volatility — credits are internal accounting units, not financial instruments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No cryptocurrency wallet required — zero barrier for non-technical users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No regulatory exposure from token issuance or exchange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Tit-for-tat model proven in BitTorrent at massive scale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Credit rates can be recalibrated by network governance without affecting external markets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Non-transferability eliminates credit markets, speculation, and griefing via credit accumulation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Negative / Trade-offs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No external economic incentive for strangers to join — unlike FIL/STORJ, you cannot 'earn money' by running a node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Free-rider deterrence is softer than cryptocurrency: a persistent free-rider is throttled, not financially penalized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Without transferability, there is no way to compensate a node operator in monetary terms — participation must be intrinsically motivated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Rejection 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Filecoin / FIL integration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volatility, cryptocurrency wallet requirement, and explicit SRD constraint against cryptocurrency mechanisms.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Storj-style micropayments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Filecoin. Storj's satellite coordination model also contradicts ADR-009.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contribution accounting (pure altruism)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Acceptable for Phase 1/2. Rejected for Phase 3: open participation without accounting creates free-rider dynamics that degrade the network for legitimate users.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Reputation-only (no credits); throttle low-reputation nodes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Credits add a positive incentive layer on top of the negative reputation threshold — both needed for a healthy contribution economy. Credits also provide a smoother UX signal.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Future Considerations</w:t>
      </w:r>
    </w:p>
    <w:p>
      <w:pPr>
        <w:shd w:fill="FFF2CC" w:val="clear"/>
        <w:spacing w:before="100" w:after="100"/>
        <w:ind w:left="180" w:right="180"/>
      </w:pPr>
      <w:r>
        <w:rPr>
          <w:rFonts w:ascii="Arial" w:cs="Arial" w:eastAsia="Arial" w:hAnsi="Arial"/>
          <w:sz w:val="20"/>
          <w:szCs w:val="20"/>
        </w:rPr>
        <w:t xml:space="preserve">These are explicitly NOT planned for v1.0 and require a new ADR before implementation: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Credit-for-service exchanges within a closed group of known participants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Integration with existing P2P credit systems (mutual credit, LETS)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These would be network-level extensions that do not require protocol changes to the core credit ledger format.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Related ADRs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ADR-008 (PBFT-lite Consensus) — credit ledger validation mechanism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ADR-009 (No Central Servers) — credit ledger must not require a central server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ADR-011 (Super Anchor / NAS) — adds Super Anchor tier at +0.75/hr credit rate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ADR-010  |  Status: Accepted  |  March 2026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95959"/>
        <w:sz w:val="18"/>
        <w:szCs w:val="18"/>
      </w:rPr>
      <w:t xml:space="preserve">SafeGrowth Vault  |  ADR-010  |  Credit System Without Cryptocurrency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2026-03-19T10:52:42.562Z</dcterms:created>
  <dcterms:modified xsi:type="dcterms:W3CDTF">2026-03-19T10:52:42.562Z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