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16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SafeGrowth Vault</w:t>
      </w:r>
    </w:p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Architecture Decision Records</w:t>
      </w:r>
    </w:p>
    <w:p>
      <w:pPr>
        <w:spacing w:before="0" w:after="48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Version 1.1  |  March 2026  |  Active — All ADRs Accepted</w:t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ADR Index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1400"/>
        <w:gridCol w:w="2160"/>
        <w:gridCol w:w="1400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Title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Primary Driver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ADR-001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Zero CGO Constraint on Node Daemon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Accepted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Cross-platform builds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ADR-002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Pebble over RocksDB for Local Storage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Accepted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ADR-001 (zero CGO)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ADR-003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ML-KEM via Go Standard Library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Accepted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ADR-001 + PQ security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ADR-004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ML-DSA via trailofbits/ml-dsa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Accepted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ADR-001 + PQ security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ADR-005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gnark over bellman/arkworks for ZK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Accepted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ADR-001 + ZK-PoR need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Phase 3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ADR-006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Hybrid Classical / PQ Crypto Mode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Accepted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Migration compatibility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Phase 2+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ADR-007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Erasure Coding Scheme Progression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Accepted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Network size constraints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ADR-008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PBFT-lite Quorum Consensus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Accepted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Byzantine fault tolerance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Phase 2+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ADR-009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Central Servers in Critical Path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Accepted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Decentralization constraint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ADR-010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Credit System Without Cryptocurrency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Accepted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crypto constraint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Phase 2+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ADR-011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Super Anchor Tier and NAS Hardware Classification [NEW]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Accepted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NAS hardware support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Phase 2+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ADR-001 — Zero CGO Constraint on Node Daemon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Status: Accepted | SRD References: NF-14, NF-15, NF-16, CR-07, ST-01 | Related: ADR-002 through ADR-005, ADR-011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Context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SafeGrowth Vault must cross-compile to Linux (amd64/arm64), Windows (amd64), Android arm64, and FreeBSD amd64 (TrueNAS CORE) from a single go build invocation with no C toolchain. Initial selections (gorocksdb, liboqs-go, bellman via FFI) required CGO and caused CI failures.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Decision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All node daemon dependencies must compile with CGO_ENABLED=0. No C toolchain required on any build or deployment platform. CI enforces this by installing no C toolchain.</w:t>
      </w:r>
    </w:p>
    <w:p>
      <w:pPr>
        <w:shd w:fill="E2EFDA" w:val="clear"/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v1.1 UPDATE: Five CI targets now required (was four). Added: CGO_ENABLED=0 GOOS=freebsd GOARCH=amd64 go build ./node/cmd — required for TrueNAS CORE (FreeBSD 13+) support.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CGO_ENABLED=0 GOOS=linux   GOARCH=amd64 go build ./node/cmd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CGO_ENABLED=0 GOOS=windows GOARCH=amd64 go build ./node/cmd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CGO_ENABLED=0 GOOS=linux   GOARCH=arm64 go build ./node/cmd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CGO_ENABLED=0 GOOS=android GOARCH=arm64 go build ./node/cmd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CGO_ENABLED=0 GOOS=freebsd GOARCH=amd64 go build ./node/cmd  # [NEW] TrueNAS CORE</w:t>
      </w:r>
    </w:p>
    <w:p>
      <w:pPr>
        <w:spacing w:before="80" w:after="8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ADR-002 — Pebble over RocksDB for Local Storage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Status: Accepted | SRD References: ST-01, ST-06, NF-09, NF-15 | Related: ADR-001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Context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Node daemon requires embedded KV store. Initial design specified RocksDB via gorocksdb. RocksDB requires CGO (violates ADR-001) and has high memory footprint.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Decision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Use github.com/cockroachdb/pebble — pure Go, WAL-backed, lower memory footprint, RocksDB-compatible API.</w:t>
      </w:r>
    </w:p>
    <w:p>
      <w:pPr>
        <w:shd w:fill="E2EFDA" w:val="clear"/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v1.1 UPDATE: Pebble operates correctly on ZFS and Btrfs COW filesystems (DSM, TrueNAS). Double-journaling (Pebble WAL + ZFS/Btrfs journal) is documented and accepted. WAL sync frequency SHOULD be reduced when filesystem_hint indicates COW filesystem to reduce write amplification. On NAS with BBU write cache, write-through mode must be configured on the data volume to preserve fsync() durability semantics — Pebble cannot detect BBU at the application layer.</w:t>
      </w:r>
    </w:p>
    <w:p>
      <w:pPr>
        <w:spacing w:before="80" w:after="8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ADR-003 — ML-KEM via Go Standard Library (crypto/mlkem)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Status: Accepted | SRD References: CR-02, CR-07, ID-02, PR-01 | Related: ADR-001, ADR-004, ADR-006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Decision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Use crypto/mlkem from Go stdlib (Go &gt;= 1.24) with ML-KEM-768 parameter set. Establishes Go 1.24 as minimum Go version. Pure Go, zero CGO, FIPS 203 compliant, constant-time, no additional dependency.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No changes in v1.1. NAS deployments use same crypto stack.</w:t>
      </w:r>
    </w:p>
    <w:p>
      <w:pPr>
        <w:spacing w:before="80" w:after="8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ADR-004 — ML-DSA via trailofbits/ml-dsa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Status: Accepted | SRD References: CR-03, CR-07, ID-01, GP-03, SH-08, IN-01, CL-01 | Related: ADR-001, ADR-003, ADR-006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Decision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Use github.com/trailofbits/ml-dsa/mldsa65. Pure Go, FIPS 204 compliant, authored by Trail of Bits security auditors. Pin to specific tagged version. Migrate to Go stdlib when available.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No changes in v1.1. NAS deployments use same crypto stack. Canonical encoding question (raw bytes vs DER) assigned to Glenn, Week 1 — update this ADR when resolved.</w:t>
      </w:r>
    </w:p>
    <w:p>
      <w:pPr>
        <w:spacing w:before="80" w:after="8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ADR-005 — gnark over bellman/arkworks for ZK Proofs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Status: Accepted | SRD References: PR-07, CL-04 | Related: ADR-001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Decision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Use github.com/consensys/gnark with Groth16 backend. Pure Go, zero CGO, production-deployed (Linea L2). PLONK available as fallback. Benchmark gate at Week 15 — measure on OptiPlex 990 (target &lt;=2s) and Pi 3B (target &lt;=10s) before writing circuit code.</w:t>
      </w:r>
    </w:p>
    <w:p>
      <w:pPr>
        <w:shd w:fill="E2EFDA" w:val="clear"/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v1.1 UPDATE: Also benchmark on NAS Super Anchor hardware at Week 15 to establish expected proof generation time for NAS-tier nodes. Document in docs/BENCHMARKS.md.</w:t>
      </w:r>
    </w:p>
    <w:p>
      <w:pPr>
        <w:spacing w:before="80" w:after="8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ADR-006 — Hybrid Classical / Post-Quantum Crypto Mode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Status: Accepted | SRD References: CR-05 | Related: ADR-003, ADR-004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Decision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Run X25519 alongside ML-KEM-768, and Ed25519 alongside ML-DSA-65, during Phase 2 transition. HKDF combines both shared secrets. Hybrid deprecated when all known nodes run Go 1.24+ and no v1 nodes seen for 30+ days (explicit team vote required).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No changes in v1.1.</w:t>
      </w:r>
    </w:p>
    <w:p>
      <w:pPr>
        <w:spacing w:before="80" w:after="8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ADR-007 — Erasure Coding Scheme Progression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Status: Accepted | SRD References: SH-01, SH-02, SH-09, NF-06 | Related: ADR-008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1800"/>
        <w:gridCol w:w="2200"/>
        <w:gridCol w:w="1560"/>
        <w:gridCol w:w="200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Scheme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Storage Overhead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Fault Tolerance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Min Nodes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Phase 1 (LAN)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2-of-3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1.5x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node loss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Phase 2 (Trusted)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3-of-5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1.67x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node losses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Phase 3 (Open)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5-of-9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1.8x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 node losses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NAS Super Anchor nodes preferred for first replica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No structural changes in v1.1. NAS Super Anchor nodes are preferred placement targets for the first replica in each erasure set.</w:t>
      </w:r>
    </w:p>
    <w:p>
      <w:pPr>
        <w:spacing w:before="80" w:after="8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ADR-008 — PBFT-lite Quorum Consensus (No Blockchain)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Status: Accepted | SRD References: BC-01 through BC-05, CL-02, CL-09 | Related: ADR-007, ADR-009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Decision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Lightweight PBFT-inspired consensus over 5-7 node quorums. Tolerates f=floor((n-1)/3) Byzantine participants. Three-phase commit with leader election and view change. Phase 1: none. Phase 2 (Week 9): simple majority 3-node quorum. Phase 3 (Weeks 15-16): full PBFT-lite.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No changes in v1.1.</w:t>
      </w:r>
    </w:p>
    <w:p>
      <w:pPr>
        <w:spacing w:before="80" w:after="8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ADR-009 — No Central Servers in Critical Path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Status: Accepted | SRD References: NF-08, Section 8 Constraints | Related: ADR-008, ADR-010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Decision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No single node, server, or service operated by the SafeGrowth team or any third party is required for storage, retrieval, peer discovery (Phase 3), or consensus.</w:t>
      </w:r>
    </w:p>
    <w:p>
      <w:pPr>
        <w:shd w:fill="E2EFDA" w:val="clear"/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v1.1 UPDATE — Accepted Exception for NAS Docker Registry: Docker image registry (Docker Hub or GitHub Container Registry) is used for NAS install convenience. This is an install-time dependency only, not a runtime dependency. It is explicitly accepted as an exception to this ADR. Static binary tarballs are provided as an alternative for air-gapped or registry-free installs. NAS operators who cannot access Docker Hub may build from source or use the static binary tarball — no runtime functionality is affected.</w:t>
      </w:r>
    </w:p>
    <w:p>
      <w:pPr>
        <w:spacing w:before="80" w:after="80"/>
      </w:pPr>
      <w:r>
        <w:t xml:space="preserv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ADR-010 — Credit System Without Cryptocurrency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Status: Accepted | SRD References: CL-01 through CL-09 | Related: ADR-008, ADR-009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Decision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Non-transferable, non-tradable internal credit system inspired by BitTorrent tit-for-tat. Credits earned for contribution (+1/GB/month storage, +0.75/hr Super Anchor, +0.5/hr Anchor, +0.25/hr Mid). Spent for priority retrieval and faster re-replication.</w:t>
      </w:r>
    </w:p>
    <w:p>
      <w:pPr>
        <w:shd w:fill="E2EFDA" w:val="clear"/>
        <w:spacing w:before="80" w:after="80"/>
      </w:pPr>
      <w:r>
        <w:rPr>
          <w:rFonts w:ascii="Arial" w:cs="Arial" w:eastAsia="Arial" w:hAnsi="Arial"/>
          <w:sz w:val="20"/>
          <w:szCs w:val="20"/>
        </w:rPr>
        <w:t xml:space="preserve">v1.1 UPDATE: Super Anchor credit rate (+0.75/hr) added to reflect higher-value always-on NAS contribution. Rate is consistent with the tier's higher uptime expectation and storage contribution.</w:t>
      </w:r>
    </w:p>
    <w:p>
      <w:pPr>
        <w:spacing w:before="80" w:after="80"/>
      </w:pPr>
      <w:r>
        <w:t xml:space="preserve"/>
      </w:r>
    </w:p>
    <w:p>
      <w:pPr>
        <w:spacing w:before="0" w:after="0"/>
      </w:pPr>
      <w:r>
        <w:rPr>
          <w:rFonts w:ascii="Arial" w:cs="Arial" w:eastAsia="Arial" w:hAnsi="Arial"/>
        </w:rPr>
        <w:br w:type="page"/>
      </w:r>
    </w:p>
    <w:p>
      <w:pPr>
        <w:shd w:fill="E2EFDA" w:val="clear"/>
        <w:spacing w:before="240" w:after="120"/>
        <w:jc w:val="center"/>
      </w:pPr>
      <w:r>
        <w:rPr>
          <w:rFonts w:ascii="Arial" w:cs="Arial" w:eastAsia="Arial" w:hAnsi="Arial"/>
          <w:b/>
          <w:bCs/>
          <w:color w:val="375623"/>
          <w:sz w:val="28"/>
          <w:szCs w:val="28"/>
        </w:rPr>
        <w:t xml:space="preserve">★ NEW IN v1.1 ★</w:t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ADR-011 — Super Anchor Tier and NAS Hardware Classification [NEW]</w:t>
      </w:r>
    </w:p>
    <w:p>
      <w:pPr>
        <w:shd w:fill="E2EFDA" w:val="clear"/>
        <w:spacing w:before="80" w:after="8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Status: Accepted  |  Date: March 2026  |  Deciders: Glenn + remote collaborators  |  SRD References: NF-14, NF-15, NF-18, ST-08, BI-08, BI-09, CL-03, SH-04  |  Related: ADR-001, ADR-002, ADR-007, ADR-009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Context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NAS hardware (Synology DSM, QNAP QTS, TrueNAS, Unraid, OpenMediaVault) represents a new participant class not anticipated in the original architecture. NAS nodes are qualitatively different from laptops and desktops: they are always-on, have large storage, run headlessly, often use Docker for application management, sit in unique network positions (may be double-NATed through Docker bridge), run on COW filesystems (ZFS, Btrfs), and have hardware-specific failure modes (RAID rebuild, BBU write cache, automated snapshots) that can cause legitimate PoR failures.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Decision — Five Interrelated Choices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1. Super Anchor Tier: Add a new hardware tier above Anchor for NAS and always-on server nodes. The tier is DERIVED from observed behaviour (sustained PoR pass rate + uptime over first 72-hour probation), not self-reported. A node falsely claiming Super Anchor that fails sustained challenges is reclassified automatically. Credit rate: +0.75/hr.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2. Capability Advertisement: Nodes SHOULD include storage_type (spinning|ssd|nvme) and cache_present (bool) in HANDSHAKE_HELLO and PEER_ANNOUNCE (NF-18). These hints inform initial replication placement and PoR challenge timeout (spinning-disk nodes may receive a 15-second window instead of 5-second). Omission treated as unknown — fields are optional.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3. Maintenance Mode: Nodes may declare a signed, time-bounded maintenance window via MAINTENANCE_WINDOW gossip item (ST-08). PoR failures during a declared window do not count toward the reputation penalty streak. Rate-limited to 2 declarations per 7-day period. Primarily motivated by RAID rebuilds on NAS hardware but applicable to any node type.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4. Docker host network mode mandatory: All containerised NAS deployments MUST use --network host mode (BI-08). Bridge network mode is unsupported because it creates double-NAT isolation that prevents libp2p hole punching and causes mDNS to announce on the Docker bridge interface rather than the physical LAN interface. NAS install scripts enforce this constraint.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5. FreeBSD as a supported build target: TrueNAS CORE runs on FreeBSD 13+. GOOS=freebsd GOARCH=amd64 is added as a required CI target (ADR-001 updated). The Go daemon binary runs natively in a TrueNAS CORE jail without Docker.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Consequences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Positive: NAS nodes become the network's most valuable participants — highest uptime, largest storage, most stable connectivity. Super Anchor tier creates a clear incentive for NAS operators. Maintenance mode prevents legitimate hardware events from unfairly penalizing reliable operators. Capability advertisement enables smarter initial placement decisions.</w:t>
      </w:r>
    </w:p>
    <w:p>
      <w:pPr>
        <w:spacing w:before="80" w:after="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Negative: Maintenance mode adds a new gossip message type and rate-limiting logic. Capability advertisement adds optional fields to HANDSHAKE_HELLO. FreeBSD adds a fifth CI build target. NAS-specific install scripts (5 scripts) add documentation maintenance burden.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Alternatives Rejected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Alternative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Rejection Reason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Allow Docker bridge mode with workarounds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reliable workaround exists for double-NAT + mDNS interface binding; --network host is the only correct solution on Linux-based NAS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Self-reported tier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Easily gamed; a phone can claim Anchor; tier must be derived from observed performance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maintenance mode; just extend PoR timeout for all NAS nodes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Blunt instrument; extends attack surface by giving all NAS nodes permanently longer response windows; maintenance mode is targeted and auditable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Mandatory capability advertisement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Some operators have privacy concerns about advertising hardware type; optional with sane defaults is correct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TrueNAS CORE unsupported; SCALE only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TrueNAS CORE (FreeBSD) has a significant installed base; FreeBSD is a clean Go cross-compile target; cost of adding the CI target is minimal</w:t>
            </w:r>
          </w:p>
        </w:tc>
      </w:tr>
    </w:tbl>
    <w:p>
      <w:pPr>
        <w:spacing w:before="80" w:after="80"/>
      </w:pPr>
      <w:r>
        <w:t xml:space="preserve"/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ADR Consolidated v1.1 | Page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95959"/>
        <w:sz w:val="18"/>
        <w:szCs w:val="18"/>
      </w:rPr>
      <w:t xml:space="preserve">SafeGrowth Vault — Architecture Decision Records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2026-03-19T09:57:36.213Z</dcterms:created>
  <dcterms:modified xsi:type="dcterms:W3CDTF">2026-03-19T09:57:36.214Z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