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t xml:space="preserve">SafeGrowth Vault</w:t>
      </w:r>
    </w:p>
    <w:p>
      <w:r>
        <w:t xml:space="preserve"/>
      </w:r>
    </w:p>
    <w:p>
      <w:r>
        <w:rPr>
          <w:b/>
          <w:bCs/>
        </w:rPr>
        <w:t xml:space="preserve">FOR DISCUSSION LIST</w:t>
      </w:r>
    </w:p>
    <w:p>
      <w:r>
        <w:rPr>
          <w:i/>
          <w:iCs/>
        </w:rPr>
        <w:t xml:space="preserve">Open Questions, Design Choices, and Trade-offs Requiring Decision</w:t>
      </w:r>
    </w:p>
    <w:p>
      <w:r>
        <w:t xml:space="preserve"/>
      </w:r>
    </w:p>
    <w:p>
      <w:r>
        <w:t xml:space="preserve">LIVING DOCUMENT: Add items freely. Items are moved to RESOLVED only after Glenn has explicitly confirmed the decision in the dev log (with AI-assisted review from Grok or Claude as applicable). Items are DEFERRED when the decision is postponed to a later milestone. Never delete items -- mark them RESOLVED or DEFERRED with a date and summary decision.</w:t>
      </w:r>
    </w:p>
    <w:p>
      <w:r>
        <w:t xml:space="preserve"/>
      </w:r>
    </w:p>
    <w:p>
      <w:r>
        <w:t xml:space="preserve">NOTE ON PROJECT ORIGIN: SafeGrowth Vault was conceived by Glenn Dewar in August 2025 as a personal data sovereignty project, developed through iterative AI-assisted design sessions using Grok (August 2025) and Claude Sonnet 4.6 (March 2026). There is currently no engineering team. These decisions are documented here for the benefit of future contributors and for the sanity-check review being sought.</w:t>
      </w:r>
    </w:p>
    <w:p>
      <w:r>
        <w:t xml:space="preserve"/>
      </w:r>
    </w:p>
    <w:p>
      <w:r>
        <w:t xml:space="preserve">Status key: OPEN (needs discussion) | IN PROGRESS (being actively discussed) | RESOLVED (decision made) | DEFERRED (decision postponed)</w:t>
      </w:r>
    </w:p>
    <w:p>
      <w:r>
        <w:t xml:space="preserve">Priority: HIGH (blocks current milestone) | MEDIUM (should resolve before next milestone) | LOW (can wait for later milestone)</w:t>
      </w:r>
    </w:p>
    <w:p>
      <w:r>
        <w:t xml:space="preserve"/>
      </w:r>
    </w:p>
    <w:p>
      <w:pPr>
        <w:pStyle w:val="Heading1"/>
      </w:pPr>
      <w:r>
        <w:t xml:space="preserve">Section A — Protocol &amp; Architecture Decisions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700"/>
        <w:gridCol w:w="800"/>
        <w:gridCol w:w="960"/>
      </w:tblGrid>
      <w:tr>
        <w:tc>
          <w:tcPr>
            <w:tcW w:type="dxa" w:w="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ID</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Topic &amp; Description</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Options / Trade-offs</w:t>
            </w:r>
          </w:p>
        </w:tc>
        <w:tc>
          <w:tcPr>
            <w:tcW w:type="dxa" w:w="7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Priority</w:t>
            </w:r>
          </w:p>
        </w:tc>
        <w:tc>
          <w:tcPr>
            <w:tcW w:type="dxa" w:w="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9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Owner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Canonical encoding for ML-DSA signatures in MessageEnvelope: raw bytes or DER? Affects interop between components. Must be decided in Week 1 to avoid protocol incompatibility.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Raw bytes: simpler, smaller. DER: standard, easier to debug with tools like openssl.</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Glenn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Gossip anti-entropy model: push-only, pull-only, or push-pull? Demers et al. (1987) recommends push-pull as most efficient but adds complexity.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Push-only: simplest; may miss updates. Pull-only: higher latency. Push-pull: best convergence, most complex. Fan-out of 3 peers per cycle assumed.</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Maximum trusted peer table size before DHT is required. On Pi 3B (1GB RAM), each peer entry is ~2-5KB.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500 peers (conservative for Pi 3B). Option B: 2000 peers (fine for anchor hardware). Option C: no cap, rely on DHT pressure to self-regulate.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Credit claim batching for consensus. Each node submitting one claim per epoch creates O(n) consensus rounds.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nodes submit claims in groups; one consensus round per group. Option B: leader node aggregates claims, single round per epoch. Option C: accept O(n) rounds, optimize later.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HANDSHAKE_HELLO include PoW field for Phase 3 Sybil resistance, or only at the join layer?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PoW only at join (current design). Option B: lightweight PoW at every handshake. Option C: rate-limit handshakes instead of PoW.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SHARD_FETCH support partial range requests for large shards (e.g., HTTP Range-style)?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no partial fetch, always return full shard (current design, simpler). Option B: partial range requests (more complex protocol, better for large shards and PoR).</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r>
    </w:tbl>
    <w:p>
      <w:r>
        <w:t xml:space="preserve"/>
      </w:r>
    </w:p>
    <w:p>
      <w:pPr>
        <w:pStyle w:val="Heading1"/>
      </w:pPr>
      <w:r>
        <w:t xml:space="preserve">Section B — NAS Hardware Decisions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700"/>
        <w:gridCol w:w="800"/>
        <w:gridCol w:w="960"/>
      </w:tblGrid>
      <w:tr>
        <w:tc>
          <w:tcPr>
            <w:tcW w:type="dxa" w:w="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ID</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Topic &amp; Description</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Options / Trade-offs</w:t>
            </w:r>
          </w:p>
        </w:tc>
        <w:tc>
          <w:tcPr>
            <w:tcW w:type="dxa" w:w="7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Priority</w:t>
            </w:r>
          </w:p>
        </w:tc>
        <w:tc>
          <w:tcPr>
            <w:tcW w:type="dxa" w:w="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9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Owner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PoR timeout for spinning-disk NAS nodes: should 15-second timeout be MUST or SHOULD?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better fairness for honest NAS operators; attack surface via false storage_type claim. SHOULD: safe default; nodes that lie will still fail if their true response time exceeds 5s. Option C: configurable per-network.</w:t>
            </w:r>
          </w:p>
        </w:tc>
        <w:tc>
          <w:tcPr>
            <w:tcW w:type="dxa" w:w="7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 xml:space="preserve">HIGH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Glenn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Storage capability fields in HANDSHAKE_HELLO: formally versioned (min_version=2) or optional extensions in v1 messages?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optional in v1 (backwards compatible). Option B: min_version=2 fields (clean but requires v2 for NAS capability). Recommendation: optional extension is correct.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Glenn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How should replication manager use storage capability hints for initial placement?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capability hints influence initial placement only. Option B: capability hints as permanent placement weight. Option C: capability hints ignored; trust reputation only.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What is the correct Super Anchor tier threshold? Currently proposed: 99%+ uptime, 1TB+ quota, gigabit LAN. These thresholds are not currently measurable by the replication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derived from PoR pass rate + uptime only. Option B: self-declared quota + LAN speed, verified over time by PoR performance. Option C: no Super Anchor tier at all.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Glenn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Maintenance mode rate limiting: 2 declarations per 7-day rolling window. Is this correct for real-world NAS failure scenarios?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keep 2 per 7 days. Option B: 3 per 7 days. Option C: 1 per 24 hours (more flexible). Option D: review by project lead for each declaration beyond the first in a 7-day window.</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the Whitepaper be updated to explicitly mention NAS hardware as a supported participant class and Super Anchor tier? (Already done in v2.2 — this item is effectively resolved.)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whitepaper v2.2 already covers this (current state). Option B: keep brief. Option C: add more NAS-specific detail.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Glenn</w:t>
            </w:r>
          </w:p>
        </w:tc>
      </w:tr>
    </w:tbl>
    <w:p>
      <w:r>
        <w:t xml:space="preserve"/>
      </w:r>
    </w:p>
    <w:p>
      <w:pPr>
        <w:pStyle w:val="Heading1"/>
      </w:pPr>
      <w:r>
        <w:t xml:space="preserve">Section C — Security &amp; Privacy Decisions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700"/>
        <w:gridCol w:w="800"/>
        <w:gridCol w:w="960"/>
      </w:tblGrid>
      <w:tr>
        <w:tc>
          <w:tcPr>
            <w:tcW w:type="dxa" w:w="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ID</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Topic &amp; Description</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Options / Trade-offs</w:t>
            </w:r>
          </w:p>
        </w:tc>
        <w:tc>
          <w:tcPr>
            <w:tcW w:type="dxa" w:w="7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Priority</w:t>
            </w:r>
          </w:p>
        </w:tc>
        <w:tc>
          <w:tcPr>
            <w:tcW w:type="dxa" w:w="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9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Owner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Credit ledger is visible to all peers by design but reveals operator contribution patterns. Should there be an optional privacy mode?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keep full ledger visibility (current design). Option B: aggregate-only gossip with ZK proof (Phase 3). Option C: accept as documented residual risk R-07.</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Relay node metadata exposure: relay sees which IP addresses are communicating even if not content.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accept metadata exposure, document for operators (current design; R-05). Option B: two-hop relay with encrypted metadata. Option C: flag as Phase 3+ enhancement.</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Hybrid mode deprecation criteria requires explicit confirmation. How should this be documented? (No team vote mechanism exists yet.)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dev log entry by Glenn (simplest). Option B: signed git tag. Option C: GitHub issue with explicit approval from any future technical co-founders.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NAS multi-user data directory: even with chmod 700, a NAS admin user can always read any directory. Is chmod 700 sufficient?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chmod 700 is sufficient (content is encrypted). Option B: document that admin-level co-users on the same NAS are a security concern; recommend dedicated NAS or volume.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Glenn</w:t>
            </w:r>
          </w:p>
        </w:tc>
      </w:tr>
    </w:tbl>
    <w:p>
      <w:r>
        <w:t xml:space="preserve"/>
      </w:r>
    </w:p>
    <w:p>
      <w:pPr>
        <w:pStyle w:val="Heading1"/>
      </w:pPr>
      <w:r>
        <w:t xml:space="preserve">Section D — Build, Tooling &amp; Process Decisions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700"/>
        <w:gridCol w:w="800"/>
        <w:gridCol w:w="960"/>
      </w:tblGrid>
      <w:tr>
        <w:tc>
          <w:tcPr>
            <w:tcW w:type="dxa" w:w="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ID</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Topic &amp; Description</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Options / Trade-offs</w:t>
            </w:r>
          </w:p>
        </w:tc>
        <w:tc>
          <w:tcPr>
            <w:tcW w:type="dxa" w:w="7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Priority</w:t>
            </w:r>
          </w:p>
        </w:tc>
        <w:tc>
          <w:tcPr>
            <w:tcW w:type="dxa" w:w="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Status</w:t>
            </w:r>
          </w:p>
        </w:tc>
        <w:tc>
          <w:tcPr>
            <w:tcW w:type="dxa" w:w="9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Owner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Docker image registry for NAS deployments: Docker Hub or GitHub Container Registry (GHCR)?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Docker Hub (most familiar to NAS users). Option B: GHCR (integrated with CI). Option C: both, with GHCR as primary.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Static binary tarball for air-gapped NAS installs: what should the tarball include?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minimal (binary + config template). Option B: full bundle (binary + scripts + wizard). Recommendation: full bundle since NAS operators may not be developers.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Testing NAS-specific behaviour in CI: we cannot run a real Synology NAS in GitHub Actions.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integration tests using Docker-in-Docker. Option B: NAS-specific tests marked as manual. Option C: mock filesystem and network interface layers for unit tests.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TBD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Whitepaper update scope: who is responsible for maintaining it as a public-facing document?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Option A: same repo, standard process. Option B: separate repo or branch for public-facing content. Option C: freeze whitepaper and use blog posts for updates.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Glenn</w:t>
            </w:r>
          </w:p>
        </w:tc>
      </w:tr>
    </w:tbl>
    <w:p>
      <w:r>
        <w:t xml:space="preserve"/>
      </w:r>
    </w:p>
    <w:p>
      <w:pPr>
        <w:pStyle w:val="Heading1"/>
      </w:pPr>
      <w:r>
        <w:t xml:space="preserve">Section E — Resolved Items</w:t>
      </w:r>
    </w:p>
    <w:p>
      <w:r>
        <w:t xml:space="preserve">No items resolved yet. As decisions are made (by Glenn, with AI assistance or future contributor input), move them here with: Date Resolved, Decision Summary, Rationale, and ADR reference if a new ADR was created.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1800"/>
        <w:gridCol w:w="1000"/>
        <w:gridCol w:w="1460"/>
      </w:tblGrid>
      <w:tr>
        <w:tc>
          <w:tcPr>
            <w:tcW w:type="dxa" w:w="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ID</w:t>
            </w:r>
          </w:p>
        </w:tc>
        <w:tc>
          <w:tcPr>
            <w:tcW w:type="dxa" w:w="1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Topic</w:t>
            </w:r>
          </w:p>
        </w:tc>
        <w:tc>
          <w:tcPr>
            <w:tcW w:type="dxa" w:w="1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Decision</w:t>
            </w:r>
          </w:p>
        </w:tc>
        <w:tc>
          <w:tcPr>
            <w:tcW w:type="dxa" w:w="18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Rationale</w:t>
            </w:r>
          </w:p>
        </w:tc>
        <w:tc>
          <w:tcPr>
            <w:tcW w:type="dxa" w:w="10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Date</w:t>
            </w:r>
          </w:p>
        </w:tc>
        <w:tc>
          <w:tcPr>
            <w:tcW w:type="dxa" w:w="14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ADR Ref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 yet)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bl>
    <w:p>
      <w:r>
        <w:t xml:space="preserve"/>
      </w:r>
    </w:p>
    <w:p>
      <w:pPr>
        <w:pStyle w:val="Heading1"/>
      </w:pPr>
      <w:r>
        <w:t xml:space="preserve">Section F — Deferred Items</w:t>
      </w:r>
    </w:p>
    <w:p>
      <w:r>
        <w:t xml:space="preserve">No items deferred yet.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200"/>
        <w:gridCol w:w="2200"/>
        <w:gridCol w:w="1260"/>
      </w:tblGrid>
      <w:tr>
        <w:tc>
          <w:tcPr>
            <w:tcW w:type="dxa" w:w="5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ID</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Topic</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Deferred To</w:t>
            </w:r>
          </w:p>
        </w:tc>
        <w:tc>
          <w:tcPr>
            <w:tcW w:type="dxa" w:w="220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Reason</w:t>
            </w:r>
          </w:p>
        </w:tc>
        <w:tc>
          <w:tcPr>
            <w:tcW w:type="dxa" w:w="1260"/>
            <w:tcBorders>
              <w:top w:val="single" w:color="4472C4" w:sz="1"/>
              <w:left w:val="single" w:color="4472C4" w:sz="1"/>
              <w:bottom w:val="single" w:color="4472C4" w:sz="1"/>
              <w:right w:val="single" w:color="4472C4" w:sz="1"/>
            </w:tcBorders>
            <w:shd w:fill="4472C4" w:val="clear"/>
            <w:tcMar>
              <w:top w:type="dxa" w:w="80"/>
              <w:left w:type="dxa" w:w="120"/>
              <w:bottom w:type="dxa" w:w="80"/>
              <w:right w:type="dxa" w:w="120"/>
            </w:tcMar>
          </w:tcPr>
          <w:p>
            <w:r>
              <w:rPr>
                <w:b/>
                <w:bCs/>
                <w:color w:val="FFFFFF"/>
              </w:rPr>
              <w:t xml:space="preserve">Date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(none yet)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w:r>
          </w:p>
        </w:tc>
      </w:tr>
    </w:tbl>
    <w:p>
      <w:r>
        <w:t xml:space="preserve"/>
      </w:r>
    </w:p>
    <w:p>
      <w:pPr>
        <w:pStyle w:val="Heading1"/>
      </w:pPr>
      <w:r>
        <w:t xml:space="preserve">How to Use This Document</w:t>
      </w:r>
    </w:p>
    <w:p>
      <w:pPr>
        <w:pStyle w:val="Heading2"/>
      </w:pPr>
      <w:r>
        <w:t xml:space="preserve">Adding a New Item</w:t>
      </w:r>
    </w:p>
    <w:p>
      <w:pPr>
        <w:pStyle w:val="ListParagraph"/>
        <w:numPr>
          <w:ilvl w:val="0"/>
          <w:numId w:val="2"/>
        </w:numPr>
      </w:pPr>
      <w:r>
        <w:t xml:space="preserve">Add to the appropriate section (A=Protocol, B=NAS, C=Security, D=Build/Process)</w:t>
      </w:r>
    </w:p>
    <w:p>
      <w:pPr>
        <w:pStyle w:val="ListParagraph"/>
        <w:numPr>
          <w:ilvl w:val="0"/>
          <w:numId w:val="2"/>
        </w:numPr>
      </w:pPr>
      <w:r>
        <w:t xml:space="preserve">Assign a sequential ID within the section (e.g., next item in Section B is B-07)</w:t>
      </w:r>
    </w:p>
    <w:p>
      <w:pPr>
        <w:pStyle w:val="ListParagraph"/>
        <w:numPr>
          <w:ilvl w:val="0"/>
          <w:numId w:val="2"/>
        </w:numPr>
      </w:pPr>
      <w:r>
        <w:t xml:space="preserve">Fill in: Topic &amp; Description, Options / Trade-offs (at least 2 options), Priority, Status (OPEN), Owner</w:t>
      </w:r>
    </w:p>
    <w:p>
      <w:r>
        <w:t xml:space="preserve"/>
      </w:r>
    </w:p>
    <w:p>
      <w:pPr>
        <w:pStyle w:val="Heading2"/>
      </w:pPr>
      <w:r>
        <w:t xml:space="preserve">Resolving an Item</w:t>
      </w:r>
    </w:p>
    <w:p>
      <w:pPr>
        <w:pStyle w:val="ListParagraph"/>
        <w:numPr>
          <w:ilvl w:val="0"/>
          <w:numId w:val="2"/>
        </w:numPr>
      </w:pPr>
      <w:r>
        <w:t xml:space="preserve">Record the decision in the dev log first</w:t>
      </w:r>
    </w:p>
    <w:p>
      <w:pPr>
        <w:pStyle w:val="ListParagraph"/>
        <w:numPr>
          <w:ilvl w:val="0"/>
          <w:numId w:val="2"/>
        </w:numPr>
      </w:pPr>
      <w:r>
        <w:t xml:space="preserve">Move the item to Section E with: date, decision summary, rationale, ADR ref if applicable</w:t>
      </w:r>
    </w:p>
    <w:p>
      <w:pPr>
        <w:pStyle w:val="ListParagraph"/>
        <w:numPr>
          <w:ilvl w:val="0"/>
          <w:numId w:val="2"/>
        </w:numPr>
      </w:pPr>
      <w:r>
        <w:t xml:space="preserve">If the decision requires a document change, create the PR, reference this item ID</w:t>
      </w:r>
    </w:p>
    <w:p>
      <w:r>
        <w:t xml:space="preserve"/>
      </w:r>
    </w:p>
    <w:p>
      <w:pPr>
        <w:pStyle w:val="Heading2"/>
      </w:pPr>
      <w:r>
        <w:t xml:space="preserve">Deferring an Item</w:t>
      </w:r>
    </w:p>
    <w:p>
      <w:pPr>
        <w:pStyle w:val="ListParagraph"/>
        <w:numPr>
          <w:ilvl w:val="0"/>
          <w:numId w:val="2"/>
        </w:numPr>
      </w:pPr>
      <w:r>
        <w:t xml:space="preserve">Decision can wait — document why</w:t>
      </w:r>
    </w:p>
    <w:p>
      <w:pPr>
        <w:pStyle w:val="ListParagraph"/>
        <w:numPr>
          <w:ilvl w:val="0"/>
          <w:numId w:val="2"/>
        </w:numPr>
      </w:pPr>
      <w:r>
        <w:t xml:space="preserve">Move to Section F with: date deferred, milestone/week it should be revisited, reason for deferral</w:t>
      </w:r>
    </w:p>
    <w:p>
      <w:pPr>
        <w:pStyle w:val="ListParagraph"/>
        <w:numPr>
          <w:ilvl w:val="0"/>
          <w:numId w:val="2"/>
        </w:numPr>
      </w:pPr>
      <w:r>
        <w:t xml:space="preserve">At each milestone start, review Section F for items that are now due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090"/>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2026-03-21T13:28:51.381Z</dcterms:created>
  <dcterms:modified xsi:type="dcterms:W3CDTF">2026-03-21T13:28:51.382Z</dcterms:modified>
</cp:coreProperties>
</file>

<file path=docProps/custom.xml><?xml version="1.0" encoding="utf-8"?>
<Properties xmlns="http://schemas.openxmlformats.org/officeDocument/2006/custom-properties" xmlns:vt="http://schemas.openxmlformats.org/officeDocument/2006/docPropsVTypes"/>
</file>