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64"/>
          <w:szCs w:val="64"/>
        </w:rPr>
        <w:t xml:space="preserve">SafeGrowth Vault</w:t>
      </w:r>
    </w:p>
    <w:p>
      <w:pPr>
        <w:spacing w:before="0" w:after="80"/>
        <w:jc w:val="center"/>
      </w:pPr>
      <w:r>
        <w:rPr>
          <w:rFonts w:ascii="Arial" w:cs="Arial" w:eastAsia="Arial" w:hAnsi="Arial"/>
          <w:b/>
          <w:bCs/>
          <w:color w:val="2E75B6"/>
          <w:sz w:val="30"/>
          <w:szCs w:val="30"/>
        </w:rPr>
        <w:t xml:space="preserve">Foundation &amp; Donor Brief</w:t>
      </w:r>
    </w:p>
    <w:p>
      <w:pPr>
        <w:spacing w:before="0" w:after="480"/>
        <w:jc w:val="center"/>
      </w:pPr>
      <w:r>
        <w:rPr>
          <w:rFonts w:ascii="Arial" w:cs="Arial" w:eastAsia="Arial" w:hAnsi="Arial"/>
          <w:i/>
          <w:iCs/>
          <w:color w:val="595959"/>
          <w:sz w:val="20"/>
          <w:szCs w:val="20"/>
        </w:rPr>
        <w:t xml:space="preserve">Trustless Decentralized Storage  •  Post-Quantum Security  •  Public Good Infrastructure</w:t>
      </w:r>
    </w:p>
    <w:p>
      <w:pPr>
        <w:pStyle w:val="Heading1"/>
        <w:spacing w:before="360" w:after="160"/>
      </w:pPr>
      <w:r>
        <w:rPr>
          <w:rFonts w:ascii="Arial" w:cs="Arial" w:eastAsia="Arial" w:hAnsi="Arial"/>
          <w:b/>
          <w:bCs/>
          <w:color w:val="1F3864"/>
          <w:sz w:val="34"/>
          <w:szCs w:val="34"/>
        </w:rPr>
        <w:t xml:space="preserve">Executive Summary</w:t>
      </w:r>
    </w:p>
    <w:p>
      <w:pPr>
        <w:spacing w:before="80" w:after="80"/>
      </w:pPr>
      <w:r>
        <w:rPr>
          <w:rFonts w:ascii="Arial" w:cs="Arial" w:eastAsia="Arial" w:hAnsi="Arial"/>
          <w:sz w:val="20"/>
          <w:szCs w:val="20"/>
        </w:rPr>
        <w:t xml:space="preserve">SafeGrowth Vault is an open-source, community-funded project to build the decentralized storage layer the internet needs but does not yet have. It is designed to give ordinary people genuine data sovereignty — backed by post-quantum cryptography, mathematical proof of storage, and hardware they already own — without tokens, without subscriptions, and without any corporation in the middle.</w:t>
      </w:r>
    </w:p>
    <w:p>
      <w:pPr>
        <w:spacing w:before="100" w:after="100"/>
      </w:pPr>
      <w:r>
        <w:t xml:space="preserve"/>
      </w:r>
    </w:p>
    <w:p>
      <w:pPr>
        <w:spacing w:before="80" w:after="80"/>
      </w:pPr>
      <w:r>
        <w:rPr>
          <w:rFonts w:ascii="Arial" w:cs="Arial" w:eastAsia="Arial" w:hAnsi="Arial"/>
          <w:sz w:val="20"/>
          <w:szCs w:val="20"/>
        </w:rPr>
        <w:t xml:space="preserve">The project was conceived and fully architected by a single individual with a clear vision and no technical background. The complete architecture — including a protocol specification, software requirements document, 11 architecture decision records, threat model, and 20-week development plan — exists in full and is publicly available. What the project needs is technical co-founders willing to build it and funding to support their work.</w:t>
      </w:r>
    </w:p>
    <w:p>
      <w:pPr>
        <w:spacing w:before="100" w:after="100"/>
      </w:pPr>
      <w:r>
        <w:t xml:space="preserve"/>
      </w:r>
    </w:p>
    <w:p>
      <w:pPr>
        <w:spacing w:before="80" w:after="80"/>
      </w:pPr>
      <w:r>
        <w:rPr>
          <w:rFonts w:ascii="Arial" w:cs="Arial" w:eastAsia="Arial" w:hAnsi="Arial"/>
          <w:sz w:val="20"/>
          <w:szCs w:val="20"/>
        </w:rPr>
        <w:t xml:space="preserve">This brief is addressed to foundations, digital rights organizations, privacy advocates, and individual donors who fund open-source infrastructure because they believe it is worth building — not because they expect a financial return.</w:t>
      </w:r>
    </w:p>
    <w:p>
      <w:pPr>
        <w:spacing w:before="100" w:after="100"/>
      </w:pPr>
      <w:r>
        <w:t xml:space="preserve"/>
      </w:r>
    </w:p>
    <w:p>
      <w:r>
        <w:br w:type="page"/>
      </w:r>
    </w:p>
    <w:p>
      <w:pPr>
        <w:pStyle w:val="Heading1"/>
        <w:spacing w:before="360" w:after="160"/>
      </w:pPr>
      <w:r>
        <w:rPr>
          <w:rFonts w:ascii="Arial" w:cs="Arial" w:eastAsia="Arial" w:hAnsi="Arial"/>
          <w:b/>
          <w:bCs/>
          <w:color w:val="1F3864"/>
          <w:sz w:val="34"/>
          <w:szCs w:val="34"/>
        </w:rPr>
        <w:t xml:space="preserve">The Problem</w:t>
      </w:r>
    </w:p>
    <w:p>
      <w:pPr>
        <w:pStyle w:val="Heading2"/>
        <w:spacing w:before="260" w:after="120"/>
      </w:pPr>
      <w:r>
        <w:rPr>
          <w:rFonts w:ascii="Arial" w:cs="Arial" w:eastAsia="Arial" w:hAnsi="Arial"/>
          <w:b/>
          <w:bCs/>
          <w:color w:val="2E75B6"/>
          <w:sz w:val="26"/>
          <w:szCs w:val="26"/>
        </w:rPr>
        <w:t xml:space="preserve">Centralized Storage Is a Structural Privacy Failure</w:t>
      </w:r>
    </w:p>
    <w:p>
      <w:pPr>
        <w:spacing w:before="80" w:after="80"/>
      </w:pPr>
      <w:r>
        <w:rPr>
          <w:rFonts w:ascii="Arial" w:cs="Arial" w:eastAsia="Arial" w:hAnsi="Arial"/>
          <w:sz w:val="20"/>
          <w:szCs w:val="20"/>
        </w:rPr>
        <w:t xml:space="preserve">The majority of the world's personal and organizational data is stored on infrastructure owned by three corporations: Amazon Web Services, Google Cloud, and Microsoft Azure. These providers offer genuine convenience. They also offer zero meaningful privacy. Every major cloud provider can read the files you store with them, hand those files to governments that request them, change their terms or pricing at will, and suffer outages that take your data offline without notice.</w:t>
      </w:r>
    </w:p>
    <w:p>
      <w:pPr>
        <w:spacing w:before="100" w:after="100"/>
      </w:pPr>
      <w:r>
        <w:t xml:space="preserve"/>
      </w:r>
    </w:p>
    <w:p>
      <w:pPr>
        <w:spacing w:before="80" w:after="80"/>
      </w:pPr>
      <w:r>
        <w:rPr>
          <w:rFonts w:ascii="Arial" w:cs="Arial" w:eastAsia="Arial" w:hAnsi="Arial"/>
          <w:sz w:val="20"/>
          <w:szCs w:val="20"/>
        </w:rPr>
        <w:t xml:space="preserve">This is not a hypothetical concern. It is the documented, contractual reality of centralized storage. The only way to have genuine data sovereignty with current centralized providers is not to use them.</w:t>
      </w:r>
    </w:p>
    <w:p>
      <w:pPr>
        <w:spacing w:before="100" w:after="100"/>
      </w:pPr>
      <w:r>
        <w:t xml:space="preserve"/>
      </w:r>
    </w:p>
    <w:p>
      <w:pPr>
        <w:pStyle w:val="Heading2"/>
        <w:spacing w:before="260" w:after="120"/>
      </w:pPr>
      <w:r>
        <w:rPr>
          <w:rFonts w:ascii="Arial" w:cs="Arial" w:eastAsia="Arial" w:hAnsi="Arial"/>
          <w:b/>
          <w:bCs/>
          <w:color w:val="2E75B6"/>
          <w:sz w:val="26"/>
          <w:szCs w:val="26"/>
        </w:rPr>
        <w:t xml:space="preserve">The Decentralized Alternatives Have Not Solved the Problem</w:t>
      </w:r>
    </w:p>
    <w:p>
      <w:pPr>
        <w:spacing w:before="80" w:after="80"/>
      </w:pPr>
      <w:r>
        <w:rPr>
          <w:rFonts w:ascii="Arial" w:cs="Arial" w:eastAsia="Arial" w:hAnsi="Arial"/>
          <w:sz w:val="20"/>
          <w:szCs w:val="20"/>
        </w:rPr>
        <w:t xml:space="preserve">IPFS, Filecoin, Storj, and Sia each address parts of the centralization problem but introduce new barriers that keep ordinary people from using them. IPFS has no persistence guarantees without paid pinning services that reintroduce centralization. Filecoin requires cryptocurrency wallets and exposes users to token volatility. Storj operates satellite coordination nodes that create centralized chokepoints. None of these systems are accessible to someone without technical expertise.</w:t>
      </w:r>
    </w:p>
    <w:p>
      <w:pPr>
        <w:spacing w:before="100" w:after="100"/>
      </w:pPr>
      <w:r>
        <w:t xml:space="preserve"/>
      </w:r>
    </w:p>
    <w:p>
      <w:pPr>
        <w:pStyle w:val="Heading2"/>
        <w:spacing w:before="260" w:after="120"/>
      </w:pPr>
      <w:r>
        <w:rPr>
          <w:rFonts w:ascii="Arial" w:cs="Arial" w:eastAsia="Arial" w:hAnsi="Arial"/>
          <w:b/>
          <w:bCs/>
          <w:color w:val="2E75B6"/>
          <w:sz w:val="26"/>
          <w:szCs w:val="26"/>
        </w:rPr>
        <w:t xml:space="preserve">The Quantum Threat Is Real and the Window Is Closing</w:t>
      </w:r>
    </w:p>
    <w:p>
      <w:pPr>
        <w:spacing w:before="80" w:after="80"/>
      </w:pPr>
      <w:r>
        <w:rPr>
          <w:rFonts w:ascii="Arial" w:cs="Arial" w:eastAsia="Arial" w:hAnsi="Arial"/>
          <w:sz w:val="20"/>
          <w:szCs w:val="20"/>
        </w:rPr>
        <w:t xml:space="preserve">NIST finalized post-quantum cryptographic standards (FIPS 203 for ML-KEM key encapsulation, FIPS 204 for ML-DSA digital signatures) in August 2024. These standards represent a decade of international cryptographic research. The threat they address — quantum computers breaking current RSA and ECDH encryption — is estimated to materialize within 10 years. Data stored today with classical encryption will be vulnerable to retroactive decryption. No major consumer storage product has adopted these standards. SafeGrowth Vault is designed post-quantum from the ground up.</w:t>
      </w:r>
    </w:p>
    <w:p>
      <w:pPr>
        <w:spacing w:before="100" w:after="100"/>
      </w:pPr>
      <w:r>
        <w:t xml:space="preserve"/>
      </w:r>
    </w:p>
    <w:p>
      <w:r>
        <w:br w:type="page"/>
      </w:r>
    </w:p>
    <w:p>
      <w:pPr>
        <w:pStyle w:val="Heading1"/>
        <w:spacing w:before="360" w:after="160"/>
      </w:pPr>
      <w:r>
        <w:rPr>
          <w:rFonts w:ascii="Arial" w:cs="Arial" w:eastAsia="Arial" w:hAnsi="Arial"/>
          <w:b/>
          <w:bCs/>
          <w:color w:val="1F3864"/>
          <w:sz w:val="34"/>
          <w:szCs w:val="34"/>
        </w:rPr>
        <w:t xml:space="preserve">The Solution</w:t>
      </w:r>
    </w:p>
    <w:p>
      <w:pPr>
        <w:shd w:fill="1F3864" w:val="clear"/>
        <w:spacing w:before="240" w:after="240"/>
        <w:ind w:left="300" w:right="300"/>
      </w:pPr>
      <w:r>
        <w:rPr>
          <w:rFonts w:ascii="Arial" w:cs="Arial" w:eastAsia="Arial" w:hAnsi="Arial"/>
          <w:b/>
          <w:bCs/>
          <w:i/>
          <w:iCs/>
          <w:color w:val="FFFFFF"/>
          <w:sz w:val="28"/>
          <w:szCs w:val="28"/>
        </w:rPr>
        <w:t xml:space="preserve">“Any hardware. No tokens. Trust the math, not the institution.”</w:t>
      </w:r>
    </w:p>
    <w:p>
      <w:pPr>
        <w:spacing w:before="100" w:after="100"/>
      </w:pPr>
      <w:r>
        <w:t xml:space="preserve"/>
      </w:r>
    </w:p>
    <w:p>
      <w:pPr>
        <w:spacing w:before="80" w:after="80"/>
      </w:pPr>
      <w:r>
        <w:rPr>
          <w:rFonts w:ascii="Arial" w:cs="Arial" w:eastAsia="Arial" w:hAnsi="Arial"/>
          <w:sz w:val="20"/>
          <w:szCs w:val="20"/>
        </w:rPr>
        <w:t xml:space="preserve">SafeGrowth Vault is a decentralized storage network with the following properties, each enforced by mathematics rather than policy: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How It Is Enforced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Content-blind by construction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Every shard stored on the network is AES-256-GCM encrypted before leaving the user's device. No node holds plaintext. No node holds the key. Content inspection is architecturally impossible, not merely policy-prohibited.</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Post-quantum encryption</w:t>
            </w:r>
          </w:p>
        </w:tc>
        <w:tc>
          <w:tcPr>
            <w:tcW w:type="dxa" w:w="6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ML-KEM (CRYSTALS-Kyber, NIST FIPS 203) for key encapsulation. ML-DSA (CRYSTALS-Dilithium, NIST FIPS 204) for all digital signatures. Implemented via the Go standard library and Trail of Bits audited library — pure Go, no custom cryptography.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Continuous storage verification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Proof of Retrievability challenges are issued continuously by random peers. A node that does not physically hold a shard cannot answer the challenge. Failed challenges automatically migrate data to healthier nodes.</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No central authority</w:t>
            </w:r>
          </w:p>
        </w:tc>
        <w:tc>
          <w:tcPr>
            <w:tcW w:type="dxa" w:w="6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No server operated by the project creators is in the critical path for storage, retrieval, or peer discovery. The network continues to function if the original developer is unavailable indefinitely.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Any hardware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The node daemon cross-compiles to Linux, Windows, Android, and FreeBSD with a single Go build command and no C toolchain. A Raspberry Pi 3B, a NAS device, an old laptop, and an Android phone are all first-class participants.</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No token required</w:t>
            </w:r>
          </w:p>
        </w:tc>
        <w:tc>
          <w:tcPr>
            <w:tcW w:type="dxa" w:w="6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Contribution accounting uses a non-tradable internal credit system inspired by BitTorrent's tit-for-tat. No cryptocurrency wallet. No speculative asset. No regulatory exposure.</w:t>
            </w:r>
          </w:p>
        </w:tc>
      </w:tr>
    </w:tbl>
    <w:p>
      <w:pPr>
        <w:spacing w:before="100" w:after="100"/>
      </w:pPr>
      <w:r>
        <w:t xml:space="preserve"/>
      </w:r>
    </w:p>
    <w:p>
      <w:r>
        <w:br w:type="page"/>
      </w:r>
    </w:p>
    <w:p>
      <w:pPr>
        <w:pStyle w:val="Heading1"/>
        <w:spacing w:before="360" w:after="160"/>
      </w:pPr>
      <w:r>
        <w:rPr>
          <w:rFonts w:ascii="Arial" w:cs="Arial" w:eastAsia="Arial" w:hAnsi="Arial"/>
          <w:b/>
          <w:bCs/>
          <w:color w:val="1F3864"/>
          <w:sz w:val="34"/>
          <w:szCs w:val="34"/>
        </w:rPr>
        <w:t xml:space="preserve">Project Status: A Vision Awaiting Its Builders</w:t>
      </w:r>
    </w:p>
    <w:p>
      <w:pPr>
        <w:shd w:fill="FFF2CC" w:val="clear"/>
        <w:spacing w:before="120" w:after="120"/>
        <w:ind w:left="200" w:right="200"/>
      </w:pPr>
      <w:r>
        <w:rPr>
          <w:rFonts w:ascii="Arial" w:cs="Arial" w:eastAsia="Arial" w:hAnsi="Arial"/>
          <w:b/>
          <w:bCs/>
          <w:sz w:val="20"/>
          <w:szCs w:val="20"/>
        </w:rPr>
        <w:t xml:space="preserve">SafeGrowth Vault has a complete architecture and no working code. This is unusual — and worth explaining.</w:t>
      </w:r>
    </w:p>
    <w:p>
      <w:pPr>
        <w:spacing w:before="100" w:after="100"/>
      </w:pPr>
      <w:r>
        <w:t xml:space="preserve"/>
      </w:r>
    </w:p>
    <w:p>
      <w:pPr>
        <w:spacing w:before="80" w:after="80"/>
      </w:pPr>
      <w:r>
        <w:rPr>
          <w:rFonts w:ascii="Arial" w:cs="Arial" w:eastAsia="Arial" w:hAnsi="Arial"/>
          <w:sz w:val="20"/>
          <w:szCs w:val="20"/>
        </w:rPr>
        <w:t xml:space="preserve">The project was designed by Glenn — a non-technical individual with a clear understanding of the problem, the conviction that it can be solved, and the patience to document the solution completely before writing a single line of code. Over the past year, Glenn has produced:</w:t>
      </w:r>
    </w:p>
    <w:p>
      <w:pPr>
        <w:spacing w:before="100" w:after="100"/>
      </w:pPr>
      <w:r>
        <w:t xml:space="preserve"/>
      </w:r>
    </w:p>
    <w:p>
      <w:pPr>
        <w:pStyle w:val="ListParagraph"/>
        <w:numPr>
          <w:ilvl w:val="0"/>
          <w:numId w:val="2"/>
        </w:numPr>
        <w:spacing w:before="60" w:after="60"/>
      </w:pPr>
      <w:r>
        <w:rPr>
          <w:rFonts w:ascii="Arial" w:cs="Arial" w:eastAsia="Arial" w:hAnsi="Arial"/>
          <w:sz w:val="20"/>
          <w:szCs w:val="20"/>
        </w:rPr>
        <w:t xml:space="preserve">Whitepaper v2.2 — full technical architecture, security model, and deployment strategy</w:t>
      </w:r>
    </w:p>
    <w:p>
      <w:pPr>
        <w:pStyle w:val="ListParagraph"/>
        <w:numPr>
          <w:ilvl w:val="0"/>
          <w:numId w:val="2"/>
        </w:numPr>
        <w:spacing w:before="60" w:after="60"/>
      </w:pPr>
      <w:r>
        <w:rPr>
          <w:rFonts w:ascii="Arial" w:cs="Arial" w:eastAsia="Arial" w:hAnsi="Arial"/>
          <w:sz w:val="20"/>
          <w:szCs w:val="20"/>
        </w:rPr>
        <w:t xml:space="preserve">Software Requirements Document v1.2 — 55+ functional and non-functional requirements</w:t>
      </w:r>
    </w:p>
    <w:p>
      <w:pPr>
        <w:pStyle w:val="ListParagraph"/>
        <w:numPr>
          <w:ilvl w:val="0"/>
          <w:numId w:val="2"/>
        </w:numPr>
        <w:spacing w:before="60" w:after="60"/>
      </w:pPr>
      <w:r>
        <w:rPr>
          <w:rFonts w:ascii="Arial" w:cs="Arial" w:eastAsia="Arial" w:hAnsi="Arial"/>
          <w:sz w:val="20"/>
          <w:szCs w:val="20"/>
        </w:rPr>
        <w:t xml:space="preserve">Development Plan v1.2 — 20-week phased implementation plan with week-by-week task breakdown</w:t>
      </w:r>
    </w:p>
    <w:p>
      <w:pPr>
        <w:pStyle w:val="ListParagraph"/>
        <w:numPr>
          <w:ilvl w:val="0"/>
          <w:numId w:val="2"/>
        </w:numPr>
        <w:spacing w:before="60" w:after="60"/>
      </w:pPr>
      <w:r>
        <w:rPr>
          <w:rFonts w:ascii="Arial" w:cs="Arial" w:eastAsia="Arial" w:hAnsi="Arial"/>
          <w:sz w:val="20"/>
          <w:szCs w:val="20"/>
        </w:rPr>
        <w:t xml:space="preserve">Protocol Specification v1.1 — complete wire-level protocol: message formats, state machines, sequence flows</w:t>
      </w:r>
    </w:p>
    <w:p>
      <w:pPr>
        <w:pStyle w:val="ListParagraph"/>
        <w:numPr>
          <w:ilvl w:val="0"/>
          <w:numId w:val="2"/>
        </w:numPr>
        <w:spacing w:before="60" w:after="60"/>
      </w:pPr>
      <w:r>
        <w:rPr>
          <w:rFonts w:ascii="Arial" w:cs="Arial" w:eastAsia="Arial" w:hAnsi="Arial"/>
          <w:sz w:val="20"/>
          <w:szCs w:val="20"/>
        </w:rPr>
        <w:t xml:space="preserve">Threat Model v1.1 — 30+ attack vectors, mitigations, and residual risk register</w:t>
      </w:r>
    </w:p>
    <w:p>
      <w:pPr>
        <w:pStyle w:val="ListParagraph"/>
        <w:numPr>
          <w:ilvl w:val="0"/>
          <w:numId w:val="2"/>
        </w:numPr>
        <w:spacing w:before="60" w:after="60"/>
      </w:pPr>
      <w:r>
        <w:rPr>
          <w:rFonts w:ascii="Arial" w:cs="Arial" w:eastAsia="Arial" w:hAnsi="Arial"/>
          <w:sz w:val="20"/>
          <w:szCs w:val="20"/>
        </w:rPr>
        <w:t xml:space="preserve">11 Architecture Decision Records — every significant design choice documented with context, decision, and alternatives rejected</w:t>
      </w:r>
    </w:p>
    <w:p>
      <w:pPr>
        <w:pStyle w:val="ListParagraph"/>
        <w:numPr>
          <w:ilvl w:val="0"/>
          <w:numId w:val="2"/>
        </w:numPr>
        <w:spacing w:before="60" w:after="60"/>
      </w:pPr>
      <w:r>
        <w:rPr>
          <w:rFonts w:ascii="Arial" w:cs="Arial" w:eastAsia="Arial" w:hAnsi="Arial"/>
          <w:sz w:val="20"/>
          <w:szCs w:val="20"/>
        </w:rPr>
        <w:t xml:space="preserve">Operations Runbook v1.1 — node operator procedures for all platforms including NAS hardware</w:t>
      </w:r>
    </w:p>
    <w:p>
      <w:pPr>
        <w:spacing w:before="100" w:after="100"/>
      </w:pPr>
      <w:r>
        <w:t xml:space="preserve"/>
      </w:r>
    </w:p>
    <w:p>
      <w:pPr>
        <w:spacing w:before="80" w:after="80"/>
      </w:pPr>
      <w:r>
        <w:rPr>
          <w:rFonts w:ascii="Arial" w:cs="Arial" w:eastAsia="Arial" w:hAnsi="Arial"/>
          <w:sz w:val="20"/>
          <w:szCs w:val="20"/>
        </w:rPr>
        <w:t xml:space="preserve">Every document is internally consistent, technically rigorous, and available for public review. The architecture has been designed to a level of detail that a competent distributed systems engineer can begin implementation without asking Glenn a single architectural question.</w:t>
      </w:r>
    </w:p>
    <w:p>
      <w:pPr>
        <w:spacing w:before="100" w:after="100"/>
      </w:pPr>
      <w:r>
        <w:t xml:space="preserve"/>
      </w:r>
    </w:p>
    <w:p>
      <w:pPr>
        <w:spacing w:before="80" w:after="80"/>
      </w:pPr>
      <w:r>
        <w:rPr>
          <w:rFonts w:ascii="Arial" w:cs="Arial" w:eastAsia="Arial" w:hAnsi="Arial"/>
          <w:sz w:val="20"/>
          <w:szCs w:val="20"/>
        </w:rPr>
        <w:t xml:space="preserve">What Glenn cannot do is write the code. He is not a software engineer. His investment in this project is time, vision, and the belief that this problem is worth solving. He is looking for technical co-founders who share that belief, and for funders who will pay them to do the work.</w:t>
      </w:r>
    </w:p>
    <w:p>
      <w:pPr>
        <w:spacing w:before="100" w:after="100"/>
      </w:pPr>
      <w:r>
        <w:t xml:space="preserve"/>
      </w:r>
    </w:p>
    <w:p>
      <w:r>
        <w:br w:type="page"/>
      </w:r>
    </w:p>
    <w:p>
      <w:pPr>
        <w:pStyle w:val="Heading1"/>
        <w:spacing w:before="360" w:after="160"/>
      </w:pPr>
      <w:r>
        <w:rPr>
          <w:rFonts w:ascii="Arial" w:cs="Arial" w:eastAsia="Arial" w:hAnsi="Arial"/>
          <w:b/>
          <w:bCs/>
          <w:color w:val="1F3864"/>
          <w:sz w:val="34"/>
          <w:szCs w:val="34"/>
        </w:rPr>
        <w:t xml:space="preserve">What Is Being Asked For</w:t>
      </w:r>
    </w:p>
    <w:p>
      <w:pPr>
        <w:pStyle w:val="Heading2"/>
        <w:spacing w:before="260" w:after="120"/>
      </w:pPr>
      <w:r>
        <w:rPr>
          <w:rFonts w:ascii="Arial" w:cs="Arial" w:eastAsia="Arial" w:hAnsi="Arial"/>
          <w:b/>
          <w:bCs/>
          <w:color w:val="2E75B6"/>
          <w:sz w:val="26"/>
          <w:szCs w:val="26"/>
        </w:rPr>
        <w:t xml:space="preserve">Technical Co-Founders</w:t>
      </w:r>
    </w:p>
    <w:p>
      <w:pPr>
        <w:spacing w:before="80" w:after="80"/>
      </w:pPr>
      <w:r>
        <w:rPr>
          <w:rFonts w:ascii="Arial" w:cs="Arial" w:eastAsia="Arial" w:hAnsi="Arial"/>
          <w:sz w:val="20"/>
          <w:szCs w:val="20"/>
        </w:rPr>
        <w:t xml:space="preserve">The project needs Go engineers, cryptography specialists, and Flutter developers willing to work on it — ideally as paid contributors, but open-source volunteers are equally welcome. The architecture is designed so that a small team (3-5 engineers) can reach a working Phase 1 testnet in 4 weeks following the existing development plan. Full documentation means onboarding time is measured in hours, not weeks.</w:t>
      </w:r>
    </w:p>
    <w:p>
      <w:pPr>
        <w:spacing w:before="100" w:after="100"/>
      </w:pPr>
      <w:r>
        <w:t xml:space="preserve"/>
      </w:r>
    </w:p>
    <w:p>
      <w:pPr>
        <w:pStyle w:val="Heading2"/>
        <w:spacing w:before="260" w:after="120"/>
      </w:pPr>
      <w:r>
        <w:rPr>
          <w:rFonts w:ascii="Arial" w:cs="Arial" w:eastAsia="Arial" w:hAnsi="Arial"/>
          <w:b/>
          <w:bCs/>
          <w:color w:val="2E75B6"/>
          <w:sz w:val="26"/>
          <w:szCs w:val="26"/>
        </w:rPr>
        <w:t xml:space="preserve">Funding</w:t>
      </w:r>
    </w:p>
    <w:p>
      <w:pPr>
        <w:spacing w:before="80" w:after="80"/>
      </w:pPr>
      <w:r>
        <w:rPr>
          <w:rFonts w:ascii="Arial" w:cs="Arial" w:eastAsia="Arial" w:hAnsi="Arial"/>
          <w:sz w:val="20"/>
          <w:szCs w:val="20"/>
        </w:rPr>
        <w:t xml:space="preserve">SafeGrowth Vault is not a commercial venture. No financial return is offered or intended. Funding is sought from:</w:t>
      </w:r>
    </w:p>
    <w:p>
      <w:pPr>
        <w:spacing w:before="100" w:after="100"/>
      </w:pPr>
      <w:r>
        <w:t xml:space="preserve"/>
      </w:r>
    </w:p>
    <w:p>
      <w:pPr>
        <w:pStyle w:val="ListParagraph"/>
        <w:numPr>
          <w:ilvl w:val="0"/>
          <w:numId w:val="2"/>
        </w:numPr>
        <w:spacing w:before="60" w:after="60"/>
      </w:pPr>
      <w:r>
        <w:rPr>
          <w:rFonts w:ascii="Arial" w:cs="Arial" w:eastAsia="Arial" w:hAnsi="Arial"/>
          <w:b/>
          <w:bCs/>
          <w:sz w:val="20"/>
          <w:szCs w:val="20"/>
        </w:rPr>
        <w:t xml:space="preserve">Technology foundations: </w:t>
      </w:r>
      <w:r>
        <w:rPr>
          <w:rFonts w:ascii="Arial" w:cs="Arial" w:eastAsia="Arial" w:hAnsi="Arial"/>
          <w:sz w:val="20"/>
          <w:szCs w:val="20"/>
        </w:rPr>
        <w:t xml:space="preserve">organizations like NLnet Foundation, Open Technology Fund, Mozilla Foundation, Ford Foundation (technology program), and similar bodies that fund open-source infrastructure as a public good</w:t>
      </w:r>
    </w:p>
    <w:p>
      <w:pPr>
        <w:pStyle w:val="ListParagraph"/>
        <w:numPr>
          <w:ilvl w:val="0"/>
          <w:numId w:val="2"/>
        </w:numPr>
        <w:spacing w:before="60" w:after="60"/>
      </w:pPr>
      <w:r>
        <w:rPr>
          <w:rFonts w:ascii="Arial" w:cs="Arial" w:eastAsia="Arial" w:hAnsi="Arial"/>
          <w:b/>
          <w:bCs/>
          <w:sz w:val="20"/>
          <w:szCs w:val="20"/>
        </w:rPr>
        <w:t xml:space="preserve">Digital rights and privacy organizations: </w:t>
      </w:r>
      <w:r>
        <w:rPr>
          <w:rFonts w:ascii="Arial" w:cs="Arial" w:eastAsia="Arial" w:hAnsi="Arial"/>
          <w:sz w:val="20"/>
          <w:szCs w:val="20"/>
        </w:rPr>
        <w:t xml:space="preserve">EFF, Access Now, Privacy International, and similar organizations that have an institutional interest in tools that advance data sovereignty</w:t>
      </w:r>
    </w:p>
    <w:p>
      <w:pPr>
        <w:pStyle w:val="ListParagraph"/>
        <w:numPr>
          <w:ilvl w:val="0"/>
          <w:numId w:val="2"/>
        </w:numPr>
        <w:spacing w:before="60" w:after="60"/>
      </w:pPr>
      <w:r>
        <w:rPr>
          <w:rFonts w:ascii="Arial" w:cs="Arial" w:eastAsia="Arial" w:hAnsi="Arial"/>
          <w:b/>
          <w:bCs/>
          <w:sz w:val="20"/>
          <w:szCs w:val="20"/>
        </w:rPr>
        <w:t xml:space="preserve">Individual donors: </w:t>
      </w:r>
      <w:r>
        <w:rPr>
          <w:rFonts w:ascii="Arial" w:cs="Arial" w:eastAsia="Arial" w:hAnsi="Arial"/>
          <w:sz w:val="20"/>
          <w:szCs w:val="20"/>
        </w:rPr>
        <w:t xml:space="preserve">people who believe data sovereignty is worth funding the same way they fund open-source software, Wikipedia, or community radio</w:t>
      </w:r>
    </w:p>
    <w:p>
      <w:pPr>
        <w:pStyle w:val="ListParagraph"/>
        <w:numPr>
          <w:ilvl w:val="0"/>
          <w:numId w:val="2"/>
        </w:numPr>
        <w:spacing w:before="60" w:after="60"/>
      </w:pPr>
      <w:r>
        <w:rPr>
          <w:rFonts w:ascii="Arial" w:cs="Arial" w:eastAsia="Arial" w:hAnsi="Arial"/>
          <w:b/>
          <w:bCs/>
          <w:sz w:val="20"/>
          <w:szCs w:val="20"/>
        </w:rPr>
        <w:t xml:space="preserve">Corporate sponsors: </w:t>
      </w:r>
      <w:r>
        <w:rPr>
          <w:rFonts w:ascii="Arial" w:cs="Arial" w:eastAsia="Arial" w:hAnsi="Arial"/>
          <w:sz w:val="20"/>
          <w:szCs w:val="20"/>
        </w:rPr>
        <w:t xml:space="preserve">technology companies, NAS hardware vendors, or privacy-focused businesses that want to be associated with the project and benefit from its success without owning it</w:t>
      </w:r>
    </w:p>
    <w:p>
      <w:pPr>
        <w:spacing w:before="100" w:after="100"/>
      </w:pPr>
      <w:r>
        <w:t xml:space="preserve"/>
      </w:r>
    </w:p>
    <w:p>
      <w:pPr>
        <w:pStyle w:val="Heading2"/>
        <w:spacing w:before="260" w:after="120"/>
      </w:pPr>
      <w:r>
        <w:rPr>
          <w:rFonts w:ascii="Arial" w:cs="Arial" w:eastAsia="Arial" w:hAnsi="Arial"/>
          <w:b/>
          <w:bCs/>
          <w:color w:val="2E75B6"/>
          <w:sz w:val="26"/>
          <w:szCs w:val="26"/>
        </w:rPr>
        <w:t xml:space="preserve">What Funders Get</w:t>
      </w:r>
    </w:p>
    <w:p>
      <w:pPr>
        <w:spacing w:before="80" w:after="80"/>
      </w:pPr>
      <w:r>
        <w:rPr>
          <w:rFonts w:ascii="Arial" w:cs="Arial" w:eastAsia="Arial" w:hAnsi="Arial"/>
          <w:sz w:val="20"/>
          <w:szCs w:val="20"/>
        </w:rPr>
        <w:t xml:space="preserve">There is no financial return. What funders get is:</w:t>
      </w:r>
    </w:p>
    <w:p>
      <w:pPr>
        <w:pStyle w:val="ListParagraph"/>
        <w:numPr>
          <w:ilvl w:val="0"/>
          <w:numId w:val="2"/>
        </w:numPr>
        <w:spacing w:before="60" w:after="60"/>
      </w:pPr>
      <w:r>
        <w:rPr>
          <w:rFonts w:ascii="Arial" w:cs="Arial" w:eastAsia="Arial" w:hAnsi="Arial"/>
          <w:sz w:val="20"/>
          <w:szCs w:val="20"/>
        </w:rPr>
        <w:t xml:space="preserve">The knowledge that they helped build infrastructure that protects ordinary people's data from surveillance, corporate exploitation, and quantum-era threats</w:t>
      </w:r>
    </w:p>
    <w:p>
      <w:pPr>
        <w:pStyle w:val="ListParagraph"/>
        <w:numPr>
          <w:ilvl w:val="0"/>
          <w:numId w:val="2"/>
        </w:numPr>
        <w:spacing w:before="60" w:after="60"/>
      </w:pPr>
      <w:r>
        <w:rPr>
          <w:rFonts w:ascii="Arial" w:cs="Arial" w:eastAsia="Arial" w:hAnsi="Arial"/>
          <w:sz w:val="20"/>
          <w:szCs w:val="20"/>
        </w:rPr>
        <w:t xml:space="preserve">Recognition in project documentation, README, and release notes</w:t>
      </w:r>
    </w:p>
    <w:p>
      <w:pPr>
        <w:pStyle w:val="ListParagraph"/>
        <w:numPr>
          <w:ilvl w:val="0"/>
          <w:numId w:val="2"/>
        </w:numPr>
        <w:spacing w:before="60" w:after="60"/>
      </w:pPr>
      <w:r>
        <w:rPr>
          <w:rFonts w:ascii="Arial" w:cs="Arial" w:eastAsia="Arial" w:hAnsi="Arial"/>
          <w:sz w:val="20"/>
          <w:szCs w:val="20"/>
        </w:rPr>
        <w:t xml:space="preserve">Direct input into the project's direction through the open development process</w:t>
      </w:r>
    </w:p>
    <w:p>
      <w:pPr>
        <w:pStyle w:val="ListParagraph"/>
        <w:numPr>
          <w:ilvl w:val="0"/>
          <w:numId w:val="2"/>
        </w:numPr>
        <w:spacing w:before="60" w:after="60"/>
      </w:pPr>
      <w:r>
        <w:rPr>
          <w:rFonts w:ascii="Arial" w:cs="Arial" w:eastAsia="Arial" w:hAnsi="Arial"/>
          <w:sz w:val="20"/>
          <w:szCs w:val="20"/>
        </w:rPr>
        <w:t xml:space="preserve">A relationship with the technical community that builds around the project</w:t>
      </w:r>
    </w:p>
    <w:p>
      <w:pPr>
        <w:spacing w:before="100" w:after="100"/>
      </w:pPr>
      <w:r>
        <w:t xml:space="preserve"/>
      </w:r>
    </w:p>
    <w:p>
      <w:r>
        <w:br w:type="page"/>
      </w:r>
    </w:p>
    <w:p>
      <w:pPr>
        <w:pStyle w:val="Heading1"/>
        <w:spacing w:before="360" w:after="160"/>
      </w:pPr>
      <w:r>
        <w:rPr>
          <w:rFonts w:ascii="Arial" w:cs="Arial" w:eastAsia="Arial" w:hAnsi="Arial"/>
          <w:b/>
          <w:bCs/>
          <w:color w:val="1F3864"/>
          <w:sz w:val="34"/>
          <w:szCs w:val="34"/>
        </w:rPr>
        <w:t xml:space="preserve">Why This Approach Is Credible</w:t>
      </w:r>
    </w:p>
    <w:p>
      <w:pPr>
        <w:pStyle w:val="Heading2"/>
        <w:spacing w:before="260" w:after="120"/>
      </w:pPr>
      <w:r>
        <w:rPr>
          <w:rFonts w:ascii="Arial" w:cs="Arial" w:eastAsia="Arial" w:hAnsi="Arial"/>
          <w:b/>
          <w:bCs/>
          <w:color w:val="2E75B6"/>
          <w:sz w:val="26"/>
          <w:szCs w:val="26"/>
        </w:rPr>
        <w:t xml:space="preserve">The Architecture Is Sound</w:t>
      </w:r>
    </w:p>
    <w:p>
      <w:pPr>
        <w:spacing w:before="80" w:after="80"/>
      </w:pPr>
      <w:r>
        <w:rPr>
          <w:rFonts w:ascii="Arial" w:cs="Arial" w:eastAsia="Arial" w:hAnsi="Arial"/>
          <w:sz w:val="20"/>
          <w:szCs w:val="20"/>
        </w:rPr>
        <w:t xml:space="preserve">Every technical decision in the project has been made with reference to peer-reviewed research (PBFT consensus: Castro &amp; Liskov 1999; Proof of Retrievability: Ateniese et al. 2007, Juels &amp; Kaliski 2007; epidemic gossip: Demers et al. 1987) and to production-proven open-source libraries. There is no novel cryptography, no unproven consensus mechanism, and no hardware dependency. The project assembles mature primitives in a combination that has not been attempted in this way before.</w:t>
      </w:r>
    </w:p>
    <w:p>
      <w:pPr>
        <w:spacing w:before="100" w:after="100"/>
      </w:pPr>
      <w:r>
        <w:t xml:space="preserve"/>
      </w:r>
    </w:p>
    <w:p>
      <w:pPr>
        <w:pStyle w:val="Heading2"/>
        <w:spacing w:before="260" w:after="120"/>
      </w:pPr>
      <w:r>
        <w:rPr>
          <w:rFonts w:ascii="Arial" w:cs="Arial" w:eastAsia="Arial" w:hAnsi="Arial"/>
          <w:b/>
          <w:bCs/>
          <w:color w:val="2E75B6"/>
          <w:sz w:val="26"/>
          <w:szCs w:val="26"/>
        </w:rPr>
        <w:t xml:space="preserve">The Approach Is Reproducible</w:t>
      </w:r>
    </w:p>
    <w:p>
      <w:pPr>
        <w:spacing w:before="80" w:after="80"/>
      </w:pPr>
      <w:r>
        <w:rPr>
          <w:rFonts w:ascii="Arial" w:cs="Arial" w:eastAsia="Arial" w:hAnsi="Arial"/>
          <w:sz w:val="20"/>
          <w:szCs w:val="20"/>
        </w:rPr>
        <w:t xml:space="preserve">Because there is no central server in the critical path and the protocol is open, the network does not depend on Glenn or any specific contributor remaining involved. This is a deliberate design choice. It means the project cannot be abandoned in the way a startup can — the network, once running, belongs to its participants.</w:t>
      </w:r>
    </w:p>
    <w:p>
      <w:pPr>
        <w:spacing w:before="100" w:after="100"/>
      </w:pPr>
      <w:r>
        <w:t xml:space="preserve"/>
      </w:r>
    </w:p>
    <w:p>
      <w:pPr>
        <w:pStyle w:val="Heading2"/>
        <w:spacing w:before="260" w:after="120"/>
      </w:pPr>
      <w:r>
        <w:rPr>
          <w:rFonts w:ascii="Arial" w:cs="Arial" w:eastAsia="Arial" w:hAnsi="Arial"/>
          <w:b/>
          <w:bCs/>
          <w:color w:val="2E75B6"/>
          <w:sz w:val="26"/>
          <w:szCs w:val="26"/>
        </w:rPr>
        <w:t xml:space="preserve">Honest About What It Is Not</w:t>
      </w:r>
    </w:p>
    <w:p>
      <w:pPr>
        <w:spacing w:before="80" w:after="80"/>
      </w:pPr>
      <w:r>
        <w:rPr>
          <w:rFonts w:ascii="Arial" w:cs="Arial" w:eastAsia="Arial" w:hAnsi="Arial"/>
          <w:sz w:val="20"/>
          <w:szCs w:val="20"/>
        </w:rPr>
        <w:t xml:space="preserve">This is not a funded startup with a path to exit. It is not a token project with speculative upside. It is not a finished product. It is a fully-designed public-good infrastructure project at the beginning of its implementation phase, led by a non-technical founder with the honesty to say so, the documentation to prove the design is serious, and the conviction that finding the right people matters more than moving fast.</w:t>
      </w:r>
    </w:p>
    <w:p>
      <w:pPr>
        <w:spacing w:before="100" w:after="100"/>
      </w:pPr>
      <w:r>
        <w:t xml:space="preserve"/>
      </w:r>
    </w:p>
    <w:p>
      <w:pPr>
        <w:shd w:fill="E2EFDA" w:val="clear"/>
        <w:spacing w:before="120" w:after="120"/>
        <w:ind w:left="200" w:right="200"/>
      </w:pPr>
      <w:r>
        <w:rPr>
          <w:rFonts w:ascii="Arial" w:cs="Arial" w:eastAsia="Arial" w:hAnsi="Arial"/>
          <w:b/>
          <w:bCs/>
          <w:sz w:val="20"/>
          <w:szCs w:val="20"/>
        </w:rPr>
        <w:t xml:space="preserve">If you fund open-source infrastructure because the world is better when people own their data — this project is for you.</w:t>
      </w:r>
    </w:p>
    <w:p>
      <w:pPr>
        <w:spacing w:before="100" w:after="100"/>
      </w:pPr>
      <w:r>
        <w:t xml:space="preserve"/>
      </w:r>
    </w:p>
    <w:p>
      <w:pPr>
        <w:spacing w:before="80" w:after="80"/>
      </w:pPr>
      <w:r>
        <w:rPr>
          <w:rFonts w:ascii="Arial" w:cs="Arial" w:eastAsia="Arial" w:hAnsi="Arial"/>
          <w:i/>
          <w:iCs/>
          <w:color w:val="595959"/>
          <w:sz w:val="20"/>
          <w:szCs w:val="20"/>
        </w:rPr>
        <w:t xml:space="preserve">Contact: Glenn  |  [contact details]</w:t>
      </w:r>
    </w:p>
    <w:p>
      <w:pPr>
        <w:spacing w:before="80" w:after="80"/>
      </w:pPr>
      <w:r>
        <w:rPr>
          <w:rFonts w:ascii="Arial" w:cs="Arial" w:eastAsia="Arial" w:hAnsi="Arial"/>
          <w:i/>
          <w:iCs/>
          <w:color w:val="595959"/>
          <w:sz w:val="20"/>
          <w:szCs w:val="20"/>
        </w:rPr>
        <w:t xml:space="preserve">All technical documentation available at [project URL] and on request.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SafeGrowth Vault  |  Mission-Driven  |  Open Source  |  Community-Funded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SafeGrowth Vault  |  Foundation &amp; Donor Brief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2026-03-19T12:45:09.550Z</dcterms:created>
  <dcterms:modified xsi:type="dcterms:W3CDTF">2026-03-19T12:45:09.550Z</dcterms:modified>
</cp:coreProperties>
</file>

<file path=docProps/custom.xml><?xml version="1.0" encoding="utf-8"?>
<Properties xmlns="http://schemas.openxmlformats.org/officeDocument/2006/custom-properties" xmlns:vt="http://schemas.openxmlformats.org/officeDocument/2006/docPropsVTypes"/>
</file>