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color="FFFFFF" w:sz="0"/>
              <w:left w:val="nil" w:color="FFFFFF" w:sz="0"/>
              <w:bottom w:val="nil" w:color="FFFFFF" w:sz="0"/>
              <w:right w:val="nil" w:color="FFFFFF" w:sz="0"/>
            </w:tcBorders>
            <w:shd w:fill="1B3A5C" w:val="clear"/>
            <w:tcMar>
              <w:top w:type="dxa" w:w="400"/>
              <w:left w:type="dxa" w:w="400"/>
              <w:bottom w:type="dxa" w:w="400"/>
              <w:right w:type="dxa" w:w="400"/>
            </w:tcMar>
          </w:tcPr>
          <w:p>
            <w:pPr>
              <w:spacing w:before="0" w:after="120"/>
              <w:jc w:val="center"/>
            </w:pPr>
            <w:r>
              <w:rPr>
                <w:rFonts w:ascii="Arial" w:cs="Arial" w:eastAsia="Arial" w:hAnsi="Arial"/>
                <w:b/>
                <w:bCs/>
                <w:color w:val="FFFFFF"/>
                <w:sz w:val="52"/>
                <w:szCs w:val="52"/>
              </w:rPr>
              <w:t xml:space="preserve">SafeGrowth Vault</w:t>
            </w:r>
          </w:p>
          <w:p>
            <w:pPr>
              <w:spacing w:before="0" w:after="120"/>
              <w:jc w:val="center"/>
            </w:pPr>
            <w:r>
              <w:rPr>
                <w:rFonts w:ascii="Arial" w:cs="Arial" w:eastAsia="Arial" w:hAnsi="Arial"/>
                <w:b/>
                <w:bCs/>
                <w:color w:val="7EC8D4"/>
                <w:sz w:val="36"/>
                <w:szCs w:val="36"/>
              </w:rPr>
              <w:t xml:space="preserve">THREAT MODEL</w:t>
            </w:r>
          </w:p>
          <w:p>
            <w:pPr>
              <w:spacing w:before="0" w:after="0"/>
              <w:jc w:val="center"/>
            </w:pPr>
            <w:r>
              <w:rPr>
                <w:rFonts w:ascii="Arial" w:cs="Arial" w:eastAsia="Arial" w:hAnsi="Arial"/>
                <w:color w:val="A8C8D4"/>
                <w:sz w:val="22"/>
                <w:szCs w:val="22"/>
              </w:rPr>
              <w:t xml:space="preserve">Security Architecture &amp; Risk Analysis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Document Version</w:t>
            </w:r>
          </w:p>
        </w:tc>
        <w:tc>
          <w:tcPr>
            <w:tcW w:type="dxa" w:w="234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Status</w:t>
            </w:r>
          </w:p>
        </w:tc>
        <w:tc>
          <w:tcPr>
            <w:tcW w:type="dxa" w:w="234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Date</w:t>
            </w:r>
          </w:p>
        </w:tc>
        <w:tc>
          <w:tcPr>
            <w:tcW w:type="dxa" w:w="234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Classification</w:t>
            </w:r>
          </w:p>
        </w:tc>
      </w:tr>
      <w:tr>
        <w:tc>
          <w:tcPr>
            <w:tcW w:type="dxa" w:w="234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1.0</w:t>
            </w:r>
          </w:p>
        </w:tc>
        <w:tc>
          <w:tcPr>
            <w:tcW w:type="dxa" w:w="234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Draft — Pre-Milestone 2</w:t>
            </w:r>
          </w:p>
        </w:tc>
        <w:tc>
          <w:tcPr>
            <w:tcW w:type="dxa" w:w="234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2026-03</w:t>
            </w:r>
          </w:p>
        </w:tc>
        <w:tc>
          <w:tcPr>
            <w:tcW w:type="dxa" w:w="234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Internal / Team</w:t>
            </w:r>
          </w:p>
        </w:tc>
      </w:tr>
    </w:tbl>
    <w:p>
      <w:pPr>
        <w:spacing w:before="60" w:after="60"/>
      </w:pPr>
      <w:r>
        <w:t xml:space="preserve"/>
      </w:r>
    </w:p>
    <w:p>
      <w:pPr>
        <w:pStyle w:val="Heading1"/>
        <w:pBdr>
          <w:bottom w:val="single" w:color="1A6B72" w:sz="6" w:space="6"/>
        </w:pBdr>
        <w:spacing w:before="360" w:after="160"/>
      </w:pPr>
      <w:r>
        <w:rPr>
          <w:rFonts w:ascii="Arial" w:cs="Arial" w:eastAsia="Arial" w:hAnsi="Arial"/>
          <w:b/>
          <w:bCs/>
          <w:color w:val="1B3A5C"/>
          <w:sz w:val="32"/>
          <w:szCs w:val="32"/>
        </w:rPr>
        <w:t xml:space="preserve">1. Purpose and Scope</w:t>
      </w:r>
    </w:p>
    <w:p>
      <w:pPr>
        <w:spacing w:before="60" w:after="80"/>
      </w:pPr>
      <w:r>
        <w:rPr>
          <w:rFonts w:ascii="Arial" w:cs="Arial" w:eastAsia="Arial" w:hAnsi="Arial"/>
          <w:color w:val="1A1A1A"/>
          <w:sz w:val="20"/>
          <w:szCs w:val="20"/>
        </w:rPr>
        <w:t xml:space="preserve">This document defines the threat model for SafeGrowth Vault across all three deployment phases. It establishes trust boundaries, identifies attacker profiles, enumerates threats with severity ratings, and maps each threat to the primary defense mechanisms described in the SRD and whitepaper.</w:t>
      </w:r>
    </w:p>
    <w:p>
      <w:pPr>
        <w:spacing w:before="60" w:after="80"/>
      </w:pPr>
      <w:r>
        <w:rPr>
          <w:rFonts w:ascii="Arial" w:cs="Arial" w:eastAsia="Arial" w:hAnsi="Arial"/>
          <w:color w:val="1A1A1A"/>
          <w:sz w:val="20"/>
          <w:szCs w:val="20"/>
        </w:rPr>
        <w:t xml:space="preserve">This document is intended to be read alongside the Software Requirements Document (SRD v1.1) and the Whitepaper (v2.1). Where the whitepaper describes what the system does, this document asks: what could go wrong, who would do it, and why the architecture prevents it.</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color="FFFFFF" w:sz="0"/>
              <w:left w:val="nil" w:color="FFFFFF" w:sz="0"/>
              <w:bottom w:val="nil" w:color="FFFFFF" w:sz="0"/>
              <w:right w:val="nil" w:color="FFFFFF" w:sz="0"/>
            </w:tcBorders>
            <w:shd w:fill="FEF9E7" w:val="clear"/>
            <w:tcMar>
              <w:top w:type="dxa" w:w="120"/>
              <w:left w:type="dxa" w:w="200"/>
              <w:bottom w:type="dxa" w:w="120"/>
              <w:right w:type="dxa" w:w="200"/>
            </w:tcMar>
          </w:tcPr>
          <w:p>
            <w:pPr>
              <w:spacing w:before="0" w:after="0"/>
            </w:pPr>
            <w:r>
              <w:rPr>
                <w:rFonts w:ascii="Arial" w:cs="Arial" w:eastAsia="Arial" w:hAnsi="Arial"/>
                <w:b/>
                <w:bCs/>
                <w:color w:val="1B3A5C"/>
                <w:sz w:val="20"/>
                <w:szCs w:val="20"/>
              </w:rPr>
              <w:t xml:space="preserve">⚠  IMPORTANT  </w:t>
            </w:r>
            <w:r>
              <w:rPr>
                <w:rFonts w:ascii="Arial" w:cs="Arial" w:eastAsia="Arial" w:hAnsi="Arial"/>
                <w:color w:val="1A1A1A"/>
                <w:sz w:val="20"/>
                <w:szCs w:val="20"/>
              </w:rPr>
              <w:t xml:space="preserve">This threat model is a living document. It must be reviewed and updated at the start of each milestone and whenever a new library, protocol, or participation tier is introduced.</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1.1 What Is In Scope</w:t>
      </w:r>
    </w:p>
    <w:p>
      <w:pPr>
        <w:pStyle w:val="ListParagraph"/>
        <w:numPr>
          <w:ilvl w:val="0"/>
          <w:numId w:val="2"/>
        </w:numPr>
        <w:spacing w:before="40" w:after="40"/>
      </w:pPr>
      <w:r>
        <w:rPr>
          <w:rFonts w:ascii="Arial" w:cs="Arial" w:eastAsia="Arial" w:hAnsi="Arial"/>
          <w:color w:val="1A1A1A"/>
          <w:sz w:val="20"/>
          <w:szCs w:val="20"/>
        </w:rPr>
        <w:t xml:space="preserve">Node daemon (identity, storage engine, crypto layer, gossip, PoR, consensus, credit ledger)</w:t>
      </w:r>
    </w:p>
    <w:p>
      <w:pPr>
        <w:pStyle w:val="ListParagraph"/>
        <w:numPr>
          <w:ilvl w:val="0"/>
          <w:numId w:val="2"/>
        </w:numPr>
        <w:spacing w:before="40" w:after="40"/>
      </w:pPr>
      <w:r>
        <w:rPr>
          <w:rFonts w:ascii="Arial" w:cs="Arial" w:eastAsia="Arial" w:hAnsi="Arial"/>
          <w:color w:val="1A1A1A"/>
          <w:sz w:val="20"/>
          <w:szCs w:val="20"/>
        </w:rPr>
        <w:t xml:space="preserve">Networking layer (libp2p transport, NAT traversal, mDNS, DHT, relay nodes)</w:t>
      </w:r>
    </w:p>
    <w:p>
      <w:pPr>
        <w:pStyle w:val="ListParagraph"/>
        <w:numPr>
          <w:ilvl w:val="0"/>
          <w:numId w:val="2"/>
        </w:numPr>
        <w:spacing w:before="40" w:after="40"/>
      </w:pPr>
      <w:r>
        <w:rPr>
          <w:rFonts w:ascii="Arial" w:cs="Arial" w:eastAsia="Arial" w:hAnsi="Arial"/>
          <w:color w:val="1A1A1A"/>
          <w:sz w:val="20"/>
          <w:szCs w:val="20"/>
        </w:rPr>
        <w:t xml:space="preserve">Invite and join system</w:t>
      </w:r>
    </w:p>
    <w:p>
      <w:pPr>
        <w:pStyle w:val="ListParagraph"/>
        <w:numPr>
          <w:ilvl w:val="0"/>
          <w:numId w:val="2"/>
        </w:numPr>
        <w:spacing w:before="40" w:after="40"/>
      </w:pPr>
      <w:r>
        <w:rPr>
          <w:rFonts w:ascii="Arial" w:cs="Arial" w:eastAsia="Arial" w:hAnsi="Arial"/>
          <w:color w:val="1A1A1A"/>
          <w:sz w:val="20"/>
          <w:szCs w:val="20"/>
        </w:rPr>
        <w:t xml:space="preserve">CLI client interactions with the daemon</w:t>
      </w:r>
    </w:p>
    <w:p>
      <w:pPr>
        <w:pStyle w:val="ListParagraph"/>
        <w:numPr>
          <w:ilvl w:val="0"/>
          <w:numId w:val="2"/>
        </w:numPr>
        <w:spacing w:before="40" w:after="40"/>
      </w:pPr>
      <w:r>
        <w:rPr>
          <w:rFonts w:ascii="Arial" w:cs="Arial" w:eastAsia="Arial" w:hAnsi="Arial"/>
          <w:color w:val="1A1A1A"/>
          <w:sz w:val="20"/>
          <w:szCs w:val="20"/>
        </w:rPr>
        <w:t xml:space="preserve">Flutter app interactions with the daemon (Phase 2+)</w:t>
      </w:r>
    </w:p>
    <w:p>
      <w:pPr>
        <w:pStyle w:val="ListParagraph"/>
        <w:numPr>
          <w:ilvl w:val="0"/>
          <w:numId w:val="2"/>
        </w:numPr>
        <w:spacing w:before="40" w:after="40"/>
      </w:pPr>
      <w:r>
        <w:rPr>
          <w:rFonts w:ascii="Arial" w:cs="Arial" w:eastAsia="Arial" w:hAnsi="Arial"/>
          <w:color w:val="1A1A1A"/>
          <w:sz w:val="20"/>
          <w:szCs w:val="20"/>
        </w:rPr>
        <w:t xml:space="preserve">Credit system and reputation mechanics (Phase 2+)</w:t>
      </w:r>
    </w:p>
    <w:p>
      <w:pPr>
        <w:pStyle w:val="ListParagraph"/>
        <w:numPr>
          <w:ilvl w:val="0"/>
          <w:numId w:val="2"/>
        </w:numPr>
        <w:spacing w:before="40" w:after="40"/>
      </w:pPr>
      <w:r>
        <w:rPr>
          <w:rFonts w:ascii="Arial" w:cs="Arial" w:eastAsia="Arial" w:hAnsi="Arial"/>
          <w:color w:val="1A1A1A"/>
          <w:sz w:val="20"/>
          <w:szCs w:val="20"/>
        </w:rPr>
        <w:t xml:space="preserve">PoR challenge/response and ZK proof layer (Phase 3)</w:t>
      </w:r>
    </w:p>
    <w:p>
      <w:pPr>
        <w:spacing w:before="60" w:after="60"/>
      </w:pPr>
      <w:r>
        <w:t xml:space="preserve"/>
      </w:r>
    </w:p>
    <w:p>
      <w:pPr>
        <w:pStyle w:val="Heading2"/>
        <w:spacing w:before="280" w:after="120"/>
      </w:pPr>
      <w:r>
        <w:rPr>
          <w:rFonts w:ascii="Arial" w:cs="Arial" w:eastAsia="Arial" w:hAnsi="Arial"/>
          <w:b/>
          <w:bCs/>
          <w:color w:val="1A6B72"/>
          <w:sz w:val="26"/>
          <w:szCs w:val="26"/>
        </w:rPr>
        <w:t xml:space="preserve">1.2 What Is Out of Scope</w:t>
      </w:r>
    </w:p>
    <w:p>
      <w:pPr>
        <w:pStyle w:val="ListParagraph"/>
        <w:numPr>
          <w:ilvl w:val="0"/>
          <w:numId w:val="2"/>
        </w:numPr>
        <w:spacing w:before="40" w:after="40"/>
      </w:pPr>
      <w:r>
        <w:rPr>
          <w:rFonts w:ascii="Arial" w:cs="Arial" w:eastAsia="Arial" w:hAnsi="Arial"/>
          <w:color w:val="1A1A1A"/>
          <w:sz w:val="20"/>
          <w:szCs w:val="20"/>
        </w:rPr>
        <w:t xml:space="preserve">Physical security of node hardware (outside project control)</w:t>
      </w:r>
    </w:p>
    <w:p>
      <w:pPr>
        <w:pStyle w:val="ListParagraph"/>
        <w:numPr>
          <w:ilvl w:val="0"/>
          <w:numId w:val="2"/>
        </w:numPr>
        <w:spacing w:before="40" w:after="40"/>
      </w:pPr>
      <w:r>
        <w:rPr>
          <w:rFonts w:ascii="Arial" w:cs="Arial" w:eastAsia="Arial" w:hAnsi="Arial"/>
          <w:color w:val="1A1A1A"/>
          <w:sz w:val="20"/>
          <w:szCs w:val="20"/>
        </w:rPr>
        <w:t xml:space="preserve">Compromise of the user's passphrase through social engineering</w:t>
      </w:r>
    </w:p>
    <w:p>
      <w:pPr>
        <w:pStyle w:val="ListParagraph"/>
        <w:numPr>
          <w:ilvl w:val="0"/>
          <w:numId w:val="2"/>
        </w:numPr>
        <w:spacing w:before="40" w:after="40"/>
      </w:pPr>
      <w:r>
        <w:rPr>
          <w:rFonts w:ascii="Arial" w:cs="Arial" w:eastAsia="Arial" w:hAnsi="Arial"/>
          <w:color w:val="1A1A1A"/>
          <w:sz w:val="20"/>
          <w:szCs w:val="20"/>
        </w:rPr>
        <w:t xml:space="preserve">OS-level vulnerabilities on node host machines</w:t>
      </w:r>
    </w:p>
    <w:p>
      <w:pPr>
        <w:pStyle w:val="ListParagraph"/>
        <w:numPr>
          <w:ilvl w:val="0"/>
          <w:numId w:val="2"/>
        </w:numPr>
        <w:spacing w:before="40" w:after="40"/>
      </w:pPr>
      <w:r>
        <w:rPr>
          <w:rFonts w:ascii="Arial" w:cs="Arial" w:eastAsia="Arial" w:hAnsi="Arial"/>
          <w:color w:val="1A1A1A"/>
          <w:sz w:val="20"/>
          <w:szCs w:val="20"/>
        </w:rPr>
        <w:t xml:space="preserve">Legal or regulatory actions against node operators</w:t>
      </w:r>
    </w:p>
    <w:p>
      <w:pPr>
        <w:pStyle w:val="ListParagraph"/>
        <w:numPr>
          <w:ilvl w:val="0"/>
          <w:numId w:val="2"/>
        </w:numPr>
        <w:spacing w:before="40" w:after="40"/>
      </w:pPr>
      <w:r>
        <w:rPr>
          <w:rFonts w:ascii="Arial" w:cs="Arial" w:eastAsia="Arial" w:hAnsi="Arial"/>
          <w:color w:val="1A1A1A"/>
          <w:sz w:val="20"/>
          <w:szCs w:val="20"/>
        </w:rPr>
        <w:t xml:space="preserve">Side-channel attacks on the cryptographic implementation libraries (deferred to library audits)</w:t>
      </w:r>
    </w:p>
    <w:p>
      <w:pPr>
        <w:spacing w:before="60" w:after="60"/>
      </w:pPr>
      <w:r>
        <w:t xml:space="preserve"/>
      </w:r>
    </w:p>
    <w:p>
      <w:pPr>
        <w:pStyle w:val="Heading1"/>
        <w:pBdr>
          <w:bottom w:val="single" w:color="1A6B72" w:sz="6" w:space="6"/>
        </w:pBdr>
        <w:spacing w:before="360" w:after="160"/>
      </w:pPr>
      <w:r>
        <w:rPr>
          <w:rFonts w:ascii="Arial" w:cs="Arial" w:eastAsia="Arial" w:hAnsi="Arial"/>
          <w:b/>
          <w:bCs/>
          <w:color w:val="1B3A5C"/>
          <w:sz w:val="32"/>
          <w:szCs w:val="32"/>
        </w:rPr>
        <w:t xml:space="preserve">2. System Overview and Trust Zones</w:t>
      </w:r>
    </w:p>
    <w:p>
      <w:pPr>
        <w:spacing w:before="60" w:after="80"/>
      </w:pPr>
      <w:r>
        <w:rPr>
          <w:rFonts w:ascii="Arial" w:cs="Arial" w:eastAsia="Arial" w:hAnsi="Arial"/>
          <w:color w:val="1A1A1A"/>
          <w:sz w:val="20"/>
          <w:szCs w:val="20"/>
        </w:rPr>
        <w:t xml:space="preserve">SafeGrowth Vault operates across three trust zones that map directly to its deployment phases. The security posture of each zone is substantially different, and the threat model must be applied per-zone.</w:t>
      </w:r>
    </w:p>
    <w:p>
      <w:pPr>
        <w:spacing w:before="60" w:after="60"/>
      </w:pPr>
      <w:r>
        <w:t xml:space="preserve"/>
      </w:r>
    </w:p>
    <w:p>
      <w:pPr>
        <w:pStyle w:val="Heading2"/>
        <w:spacing w:before="280" w:after="120"/>
      </w:pPr>
      <w:r>
        <w:rPr>
          <w:rFonts w:ascii="Arial" w:cs="Arial" w:eastAsia="Arial" w:hAnsi="Arial"/>
          <w:b/>
          <w:bCs/>
          <w:color w:val="1A6B72"/>
          <w:sz w:val="26"/>
          <w:szCs w:val="26"/>
        </w:rPr>
        <w:t xml:space="preserve">2.1 Trust Zone Definitions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800"/>
        <w:gridCol w:w="2000"/>
        <w:gridCol w:w="2760"/>
      </w:tblGrid>
      <w:tr>
        <w:trPr>
          <w:tblHeader/>
        </w:trPr>
        <w:tc>
          <w:tcPr>
            <w:tcW w:type="dxa" w:w="14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Zone</w:t>
            </w:r>
          </w:p>
        </w:tc>
        <w:tc>
          <w:tcPr>
            <w:tcW w:type="dxa" w:w="14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Phase</w:t>
            </w:r>
          </w:p>
        </w:tc>
        <w:tc>
          <w:tcPr>
            <w:tcW w:type="dxa" w:w="18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Who Operates Nodes</w:t>
            </w:r>
          </w:p>
        </w:tc>
        <w:tc>
          <w:tcPr>
            <w:tcW w:type="dxa" w:w="20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Trust Basis</w:t>
            </w:r>
          </w:p>
        </w:tc>
        <w:tc>
          <w:tcPr>
            <w:tcW w:type="dxa" w:w="27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Threat Surface</w:t>
            </w:r>
          </w:p>
        </w:tc>
      </w:tr>
      <w:tr>
        <w:tc>
          <w:tcPr>
            <w:tcW w:type="dxa" w:w="1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Z1 — Personal LAN</w:t>
            </w:r>
          </w:p>
        </w:tc>
        <w:tc>
          <w:tcPr>
            <w:tcW w:type="dxa" w:w="1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1</w:t>
            </w:r>
          </w:p>
        </w:tc>
        <w:tc>
          <w:tcPr>
            <w:tcW w:type="dxa" w:w="1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Single owner (Glenn)</w:t>
            </w:r>
          </w:p>
        </w:tc>
        <w:tc>
          <w:tcPr>
            <w:tcW w:type="dxa" w:w="20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Physical possession</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Minimal: all devices personally owned</w:t>
            </w:r>
          </w:p>
        </w:tc>
      </w:tr>
      <w:tr>
        <w:tc>
          <w:tcPr>
            <w:tcW w:type="dxa" w:w="14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Z2 — Trusted Group</w:t>
            </w:r>
          </w:p>
        </w:tc>
        <w:tc>
          <w:tcPr>
            <w:tcW w:type="dxa" w:w="14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2</w:t>
            </w:r>
          </w:p>
        </w:tc>
        <w:tc>
          <w:tcPr>
            <w:tcW w:type="dxa" w:w="1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Personally known contacts</w:t>
            </w:r>
          </w:p>
        </w:tc>
        <w:tc>
          <w:tcPr>
            <w:tcW w:type="dxa" w:w="20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Social relationship + invite chain</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Moderate: remote nodes, internet transit</w:t>
            </w:r>
          </w:p>
        </w:tc>
      </w:tr>
      <w:tr>
        <w:tc>
          <w:tcPr>
            <w:tcW w:type="dxa" w:w="1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Z3 — Open Network</w:t>
            </w:r>
          </w:p>
        </w:tc>
        <w:tc>
          <w:tcPr>
            <w:tcW w:type="dxa" w:w="1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3</w:t>
            </w:r>
          </w:p>
        </w:tc>
        <w:tc>
          <w:tcPr>
            <w:tcW w:type="dxa" w:w="1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Unknown participants</w:t>
            </w:r>
          </w:p>
        </w:tc>
        <w:tc>
          <w:tcPr>
            <w:tcW w:type="dxa" w:w="20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Cryptographic proof only</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Maximum: any adversary may participate</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2.2 Trust Boundary Diagram</w:t>
      </w:r>
    </w:p>
    <w:p>
      <w:pPr>
        <w:spacing w:before="60" w:after="80"/>
      </w:pPr>
      <w:r>
        <w:rPr>
          <w:rFonts w:ascii="Arial" w:cs="Arial" w:eastAsia="Arial" w:hAnsi="Arial"/>
          <w:color w:val="1A1A1A"/>
          <w:sz w:val="20"/>
          <w:szCs w:val="20"/>
        </w:rPr>
        <w:t xml:space="preserve">The following diagram shows the key trust boundaries and what crosses each one: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8DC" w:sz="1"/>
              <w:left w:val="single" w:color="D5D8DC" w:sz="1"/>
              <w:bottom w:val="single" w:color="D5D8DC" w:sz="1"/>
              <w:right w:val="single" w:color="D5D8DC" w:sz="1"/>
            </w:tcBorders>
            <w:shd w:fill="F4F6F7" w:val="clear"/>
            <w:tcMar>
              <w:top w:type="dxa" w:w="160"/>
              <w:left w:type="dxa" w:w="200"/>
              <w:bottom w:type="dxa" w:w="160"/>
              <w:right w:type="dxa" w:w="200"/>
            </w:tcMar>
          </w:tcPr>
          <w:p>
            <w:pPr>
              <w:spacing w:before="0" w:after="80"/>
            </w:pPr>
            <w:r>
              <w:rPr>
                <w:rFonts w:ascii="Courier New" w:cs="Courier New" w:eastAsia="Courier New" w:hAnsi="Courier New"/>
                <w:b/>
                <w:bCs/>
                <w:color w:val="1B3A5C"/>
                <w:sz w:val="18"/>
                <w:szCs w:val="18"/>
              </w:rPr>
              <w:t xml:space="preserve">TRUST BOUNDARY MAP</w:t>
            </w:r>
          </w:p>
          <w:p>
            <w:pPr>
              <w:spacing w:before="0" w:after="0"/>
            </w:pPr>
            <w:r>
              <w:rPr>
                <w:rFonts w:ascii="Courier New" w:cs="Courier New" w:eastAsia="Courier New" w:hAnsi="Courier New"/>
                <w:color w:val="1B3A5C"/>
                <w:sz w:val="16"/>
                <w:szCs w:val="16"/>
              </w:rPr>
              <w:t xml:space="preserve">┌─────────────────────────────────────────────────────────────┐</w:t>
            </w:r>
          </w:p>
          <w:p>
            <w:pPr>
              <w:spacing w:before="0" w:after="0"/>
            </w:pPr>
            <w:r>
              <w:rPr>
                <w:rFonts w:ascii="Courier New" w:cs="Courier New" w:eastAsia="Courier New" w:hAnsi="Courier New"/>
                <w:color w:val="1B3A5C"/>
                <w:sz w:val="16"/>
                <w:szCs w:val="16"/>
              </w:rPr>
              <w:t xml:space="preserve">│  [User Device]  ←── passphrase KDF ──→  [Identity Keystore] │</w:t>
            </w:r>
          </w:p>
          <w:p>
            <w:pPr>
              <w:spacing w:before="0" w:after="0"/>
            </w:pPr>
            <w:r>
              <w:rPr>
                <w:rFonts w:ascii="Courier New" w:cs="Courier New" w:eastAsia="Courier New" w:hAnsi="Courier New"/>
                <w:color w:val="1B3A5C"/>
                <w:sz w:val="16"/>
                <w:szCs w:val="16"/>
              </w:rPr>
              <w:t xml:space="preserve">│        │                                         │           │</w:t>
            </w:r>
          </w:p>
          <w:p>
            <w:pPr>
              <w:spacing w:before="0" w:after="0"/>
            </w:pPr>
            <w:r>
              <w:rPr>
                <w:rFonts w:ascii="Courier New" w:cs="Courier New" w:eastAsia="Courier New" w:hAnsi="Courier New"/>
                <w:color w:val="1B3A5C"/>
                <w:sz w:val="16"/>
                <w:szCs w:val="16"/>
              </w:rPr>
              <w:t xml:space="preserve">│   [CLI/App]  ─── REST/gRPC (mTLS) ───→  [Node Daemon]       │</w:t>
            </w:r>
          </w:p>
          <w:p>
            <w:pPr>
              <w:spacing w:before="0" w:after="0"/>
            </w:pPr>
            <w:r>
              <w:rPr>
                <w:rFonts w:ascii="Courier New" w:cs="Courier New" w:eastAsia="Courier New" w:hAnsi="Courier New"/>
                <w:color w:val="1B3A5C"/>
                <w:sz w:val="16"/>
                <w:szCs w:val="16"/>
              </w:rPr>
              <w:t xml:space="preserve">│                                               │             │</w:t>
            </w:r>
          </w:p>
          <w:p>
            <w:pPr>
              <w:spacing w:before="0" w:after="0"/>
            </w:pPr>
            <w:r>
              <w:rPr>
                <w:rFonts w:ascii="Courier New" w:cs="Courier New" w:eastAsia="Courier New" w:hAnsi="Courier New"/>
                <w:color w:val="1B3A5C"/>
                <w:sz w:val="16"/>
                <w:szCs w:val="16"/>
              </w:rPr>
              <w:t xml:space="preserve">└───────────────────────────────────────────────┼─────────────┘</w:t>
            </w:r>
          </w:p>
          <w:p>
            <w:pPr>
              <w:spacing w:before="0" w:after="0"/>
            </w:pPr>
            <w:r>
              <w:rPr>
                <w:rFonts w:ascii="Courier New" w:cs="Courier New" w:eastAsia="Courier New" w:hAnsi="Courier New"/>
                <w:color w:val="1A6B72"/>
                <w:sz w:val="16"/>
                <w:szCs w:val="16"/>
              </w:rPr>
              <w:t xml:space="preserve">          TRUST BOUNDARY — Authenticated Peer Zone             </w:t>
            </w:r>
          </w:p>
          <w:p>
            <w:pPr>
              <w:spacing w:before="0" w:after="0"/>
            </w:pPr>
            <w:r>
              <w:rPr>
                <w:rFonts w:ascii="Courier New" w:cs="Courier New" w:eastAsia="Courier New" w:hAnsi="Courier New"/>
                <w:color w:val="1B3A5C"/>
                <w:sz w:val="16"/>
                <w:szCs w:val="16"/>
              </w:rPr>
              <w:t xml:space="preserve">┌───────────────────────────────────────────────▼─────────────┐</w:t>
            </w:r>
          </w:p>
          <w:p>
            <w:pPr>
              <w:spacing w:before="0" w:after="0"/>
            </w:pPr>
            <w:r>
              <w:rPr>
                <w:rFonts w:ascii="Courier New" w:cs="Courier New" w:eastAsia="Courier New" w:hAnsi="Courier New"/>
                <w:color w:val="1B3A5C"/>
                <w:sz w:val="16"/>
                <w:szCs w:val="16"/>
              </w:rPr>
              <w:t xml:space="preserve">│  [Trusted Peer A] ←── mTLS + signed gossip ──→ [Node]       │</w:t>
            </w:r>
          </w:p>
          <w:p>
            <w:pPr>
              <w:spacing w:before="0" w:after="0"/>
            </w:pPr>
            <w:r>
              <w:rPr>
                <w:rFonts w:ascii="Courier New" w:cs="Courier New" w:eastAsia="Courier New" w:hAnsi="Courier New"/>
                <w:color w:val="1B3A5C"/>
                <w:sz w:val="16"/>
                <w:szCs w:val="16"/>
              </w:rPr>
              <w:t xml:space="preserve">│  [Trusted Peer B]  ── encrypted shards ──────→ [Node]       │</w:t>
            </w:r>
          </w:p>
          <w:p>
            <w:pPr>
              <w:spacing w:before="0" w:after="0"/>
            </w:pPr>
            <w:r>
              <w:rPr>
                <w:rFonts w:ascii="Courier New" w:cs="Courier New" w:eastAsia="Courier New" w:hAnsi="Courier New"/>
                <w:color w:val="1B3A5C"/>
                <w:sz w:val="16"/>
                <w:szCs w:val="16"/>
              </w:rPr>
              <w:t xml:space="preserve">└─────────────────────────────────────────────────────────────┘</w:t>
            </w:r>
          </w:p>
          <w:p>
            <w:pPr>
              <w:spacing w:before="0" w:after="0"/>
            </w:pPr>
            <w:r>
              <w:rPr>
                <w:rFonts w:ascii="Courier New" w:cs="Courier New" w:eastAsia="Courier New" w:hAnsi="Courier New"/>
                <w:color w:val="1A6B72"/>
                <w:sz w:val="16"/>
                <w:szCs w:val="16"/>
              </w:rPr>
              <w:t xml:space="preserve">          TRUST BOUNDARY — Open Participation Zone (Z3 only)  </w:t>
            </w:r>
          </w:p>
          <w:p>
            <w:pPr>
              <w:spacing w:before="0" w:after="0"/>
            </w:pPr>
            <w:r>
              <w:rPr>
                <w:rFonts w:ascii="Courier New" w:cs="Courier New" w:eastAsia="Courier New" w:hAnsi="Courier New"/>
                <w:color w:val="1B3A5C"/>
                <w:sz w:val="16"/>
                <w:szCs w:val="16"/>
              </w:rPr>
              <w:t xml:space="preserve">┌─────────────────────────────────────────────────────────────┐</w:t>
            </w:r>
          </w:p>
          <w:p>
            <w:pPr>
              <w:spacing w:before="0" w:after="0"/>
            </w:pPr>
            <w:r>
              <w:rPr>
                <w:rFonts w:ascii="Courier New" w:cs="Courier New" w:eastAsia="Courier New" w:hAnsi="Courier New"/>
                <w:color w:val="1B3A5C"/>
                <w:sz w:val="16"/>
                <w:szCs w:val="16"/>
              </w:rPr>
              <w:t xml:space="preserve">│  [Unknown Node X]  ── PoR proofs, reputation ──→ [Network]  │</w:t>
            </w:r>
          </w:p>
          <w:p>
            <w:pPr>
              <w:spacing w:before="0" w:after="0"/>
            </w:pPr>
            <w:r>
              <w:rPr>
                <w:rFonts w:ascii="Courier New" w:cs="Courier New" w:eastAsia="Courier New" w:hAnsi="Courier New"/>
                <w:color w:val="1B3A5C"/>
                <w:sz w:val="16"/>
                <w:szCs w:val="16"/>
              </w:rPr>
              <w:t xml:space="preserve">│  [Unknown Node Y]  ── ZK-PoR, consensus ───────→ [Network]  │</w:t>
            </w:r>
          </w:p>
          <w:p>
            <w:pPr>
              <w:spacing w:before="0" w:after="0"/>
            </w:pPr>
            <w:r>
              <w:rPr>
                <w:rFonts w:ascii="Courier New" w:cs="Courier New" w:eastAsia="Courier New" w:hAnsi="Courier New"/>
                <w:color w:val="1B3A5C"/>
                <w:sz w:val="16"/>
                <w:szCs w:val="16"/>
              </w:rPr>
              <w:t xml:space="preserve">└─────────────────────────────────────────────────────────────┘</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2.3 Data Classification</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600"/>
        <w:gridCol w:w="2760"/>
      </w:tblGrid>
      <w:tr>
        <w:trPr>
          <w:tblHeader/>
        </w:trPr>
        <w:tc>
          <w:tcPr>
            <w:tcW w:type="dxa" w:w="20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Data Type</w:t>
            </w:r>
          </w:p>
        </w:tc>
        <w:tc>
          <w:tcPr>
            <w:tcW w:type="dxa" w:w="12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Sensitivity</w:t>
            </w:r>
          </w:p>
        </w:tc>
        <w:tc>
          <w:tcPr>
            <w:tcW w:type="dxa" w:w="18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At Rest</w:t>
            </w:r>
          </w:p>
        </w:tc>
        <w:tc>
          <w:tcPr>
            <w:tcW w:type="dxa" w:w="16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In Transit</w:t>
            </w:r>
          </w:p>
        </w:tc>
        <w:tc>
          <w:tcPr>
            <w:tcW w:type="dxa" w:w="27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Node Visibility</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User file plaintext</w:t>
            </w:r>
          </w:p>
        </w:tc>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HIGHEST</w:t>
            </w:r>
          </w:p>
        </w:tc>
        <w:tc>
          <w:tcPr>
            <w:tcW w:type="dxa" w:w="1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Never stored anywhere</w:t>
            </w:r>
          </w:p>
        </w:tc>
        <w:tc>
          <w:tcPr>
            <w:tcW w:type="dxa" w:w="1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Never transmitted</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None — architecturally prevented</w:t>
            </w:r>
          </w:p>
        </w:tc>
      </w:tr>
      <w:tr>
        <w:tc>
          <w:tcPr>
            <w:tcW w:type="dxa" w:w="20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Encrypted shards</w:t>
            </w:r>
          </w:p>
        </w:tc>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HIGH</w:t>
            </w:r>
          </w:p>
        </w:tc>
        <w:tc>
          <w:tcPr>
            <w:tcW w:type="dxa" w:w="1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AES-256-GCM on disk</w:t>
            </w:r>
          </w:p>
        </w:tc>
        <w:tc>
          <w:tcPr>
            <w:tcW w:type="dxa" w:w="1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ML-KEM + mTLS</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Ciphertext only</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Node private keypair</w:t>
            </w:r>
          </w:p>
        </w:tc>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HIGH</w:t>
            </w:r>
          </w:p>
        </w:tc>
        <w:tc>
          <w:tcPr>
            <w:tcW w:type="dxa" w:w="1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AES-256-GCM + Argon2id</w:t>
            </w:r>
          </w:p>
        </w:tc>
        <w:tc>
          <w:tcPr>
            <w:tcW w:type="dxa" w:w="1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Never transmitted</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Owner node only</w:t>
            </w:r>
          </w:p>
        </w:tc>
      </w:tr>
      <w:tr>
        <w:tc>
          <w:tcPr>
            <w:tcW w:type="dxa" w:w="20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Peer public keys</w:t>
            </w:r>
          </w:p>
        </w:tc>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LOW</w:t>
            </w:r>
          </w:p>
        </w:tc>
        <w:tc>
          <w:tcPr>
            <w:tcW w:type="dxa" w:w="1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Plaintext in peer table</w:t>
            </w:r>
          </w:p>
        </w:tc>
        <w:tc>
          <w:tcPr>
            <w:tcW w:type="dxa" w:w="1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Plaintext in gossip</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All nodes</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Credit ledger entries</w:t>
            </w:r>
          </w:p>
        </w:tc>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MEDIUM</w:t>
            </w:r>
          </w:p>
        </w:tc>
        <w:tc>
          <w:tcPr>
            <w:tcW w:type="dxa" w:w="1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Pebble (plaintext)</w:t>
            </w:r>
          </w:p>
        </w:tc>
        <w:tc>
          <w:tcPr>
            <w:tcW w:type="dxa" w:w="1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Signed + mTLS</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All nodes (by design)</w:t>
            </w:r>
          </w:p>
        </w:tc>
      </w:tr>
      <w:tr>
        <w:tc>
          <w:tcPr>
            <w:tcW w:type="dxa" w:w="20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Reputation records</w:t>
            </w:r>
          </w:p>
        </w:tc>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MEDIUM</w:t>
            </w:r>
          </w:p>
        </w:tc>
        <w:tc>
          <w:tcPr>
            <w:tcW w:type="dxa" w:w="1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Pebble (plaintext)</w:t>
            </w:r>
          </w:p>
        </w:tc>
        <w:tc>
          <w:tcPr>
            <w:tcW w:type="dxa" w:w="1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Signed + mTLS</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All nodes (by design)</w:t>
            </w:r>
          </w:p>
        </w:tc>
      </w:tr>
      <w:tr>
        <w:tc>
          <w:tcPr>
            <w:tcW w:type="dxa" w:w="20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Shard manifest metadata</w:t>
            </w:r>
          </w:p>
        </w:tc>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MEDIUM</w:t>
            </w:r>
          </w:p>
        </w:tc>
        <w:tc>
          <w:tcPr>
            <w:tcW w:type="dxa" w:w="1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Pebble (plaintext)</w:t>
            </w:r>
          </w:p>
        </w:tc>
        <w:tc>
          <w:tcPr>
            <w:tcW w:type="dxa" w:w="1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Signed + mTLS</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Holder node + replication manager</w:t>
            </w:r>
          </w:p>
        </w:tc>
      </w:tr>
      <w:tr>
        <w:tc>
          <w:tcPr>
            <w:tcW w:type="dxa" w:w="20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PoR challenge seeds</w:t>
            </w:r>
          </w:p>
        </w:tc>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HIGH</w:t>
            </w:r>
          </w:p>
        </w:tc>
        <w:tc>
          <w:tcPr>
            <w:tcW w:type="dxa" w:w="1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Encrypted alongside shard metadata</w:t>
            </w:r>
          </w:p>
        </w:tc>
        <w:tc>
          <w:tcPr>
            <w:tcW w:type="dxa" w:w="1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ML-KEM key exchange</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Holder + quorum verifiers only</w:t>
            </w:r>
          </w:p>
        </w:tc>
      </w:tr>
    </w:tbl>
    <w:p>
      <w:pPr>
        <w:spacing w:before="60" w:after="60"/>
      </w:pPr>
      <w:r>
        <w:t xml:space="preserve"/>
      </w:r>
    </w:p>
    <w:p>
      <w:pPr>
        <w:pStyle w:val="Heading1"/>
        <w:pBdr>
          <w:bottom w:val="single" w:color="1A6B72" w:sz="6" w:space="6"/>
        </w:pBdr>
        <w:spacing w:before="360" w:after="160"/>
      </w:pPr>
      <w:r>
        <w:rPr>
          <w:rFonts w:ascii="Arial" w:cs="Arial" w:eastAsia="Arial" w:hAnsi="Arial"/>
          <w:b/>
          <w:bCs/>
          <w:color w:val="1B3A5C"/>
          <w:sz w:val="32"/>
          <w:szCs w:val="32"/>
        </w:rPr>
        <w:t xml:space="preserve">3. Attacker Profiles</w:t>
      </w:r>
    </w:p>
    <w:p>
      <w:pPr>
        <w:spacing w:before="60" w:after="80"/>
      </w:pPr>
      <w:r>
        <w:rPr>
          <w:rFonts w:ascii="Arial" w:cs="Arial" w:eastAsia="Arial" w:hAnsi="Arial"/>
          <w:color w:val="1A1A1A"/>
          <w:sz w:val="20"/>
          <w:szCs w:val="20"/>
        </w:rPr>
        <w:t xml:space="preserve">The following attacker profiles represent the realistic adversaries SafeGrowth Vault must defend against across its deployment phases. Profiles are ordered from most to least likely.</w:t>
      </w:r>
    </w:p>
    <w:p>
      <w:pPr>
        <w:spacing w:before="60" w:after="60"/>
      </w:pPr>
      <w:r>
        <w:t xml:space="preserve"/>
      </w:r>
    </w:p>
    <w:p>
      <w:pPr>
        <w:pStyle w:val="Heading2"/>
        <w:spacing w:before="280" w:after="120"/>
      </w:pPr>
      <w:r>
        <w:rPr>
          <w:rFonts w:ascii="Arial" w:cs="Arial" w:eastAsia="Arial" w:hAnsi="Arial"/>
          <w:b/>
          <w:bCs/>
          <w:color w:val="1A6B72"/>
          <w:sz w:val="26"/>
          <w:szCs w:val="26"/>
        </w:rPr>
        <w:t xml:space="preserve">Profile A — Passive Network Observer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Attribute</w:t>
            </w:r>
          </w:p>
        </w:tc>
        <w:tc>
          <w:tcPr>
            <w:tcW w:type="dxa" w:w="69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Detail</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Motivation</w:t>
            </w:r>
          </w:p>
        </w:tc>
        <w:tc>
          <w:tcPr>
            <w:tcW w:type="dxa" w:w="69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Surveillance, traffic analysis, identifying communication patterns</w:t>
            </w:r>
          </w:p>
        </w:tc>
      </w:tr>
      <w:tr>
        <w:tc>
          <w:tcPr>
            <w:tcW w:type="dxa" w:w="24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Capability</w:t>
            </w:r>
          </w:p>
        </w:tc>
        <w:tc>
          <w:tcPr>
            <w:tcW w:type="dxa" w:w="69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ISP-level or on-path packet capture; no access to node software</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relevance</w:t>
            </w:r>
          </w:p>
        </w:tc>
        <w:tc>
          <w:tcPr>
            <w:tcW w:type="dxa" w:w="69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2 and 3 (internet traffic)</w:t>
            </w:r>
          </w:p>
        </w:tc>
      </w:tr>
      <w:tr>
        <w:tc>
          <w:tcPr>
            <w:tcW w:type="dxa" w:w="24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Goal</w:t>
            </w:r>
          </w:p>
        </w:tc>
        <w:tc>
          <w:tcPr>
            <w:tcW w:type="dxa" w:w="69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Identify what data is being transferred, between which nodes, and when</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Profile B — Malicious Participating Node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Attribute</w:t>
            </w:r>
          </w:p>
        </w:tc>
        <w:tc>
          <w:tcPr>
            <w:tcW w:type="dxa" w:w="69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Detail</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Motivation</w:t>
            </w:r>
          </w:p>
        </w:tc>
        <w:tc>
          <w:tcPr>
            <w:tcW w:type="dxa" w:w="69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Free storage consumption, credit fraud, network disruption, data exfiltration</w:t>
            </w:r>
          </w:p>
        </w:tc>
      </w:tr>
      <w:tr>
        <w:tc>
          <w:tcPr>
            <w:tcW w:type="dxa" w:w="24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Capability</w:t>
            </w:r>
          </w:p>
        </w:tc>
        <w:tc>
          <w:tcPr>
            <w:tcW w:type="dxa" w:w="69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Full control over one or more legitimate-looking node instances; can modify daemon code</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relevance</w:t>
            </w:r>
          </w:p>
        </w:tc>
        <w:tc>
          <w:tcPr>
            <w:tcW w:type="dxa" w:w="69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2 (invited bad actor) and Phase 3 (open participation)</w:t>
            </w:r>
          </w:p>
        </w:tc>
      </w:tr>
      <w:tr>
        <w:tc>
          <w:tcPr>
            <w:tcW w:type="dxa" w:w="24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Goal</w:t>
            </w:r>
          </w:p>
        </w:tc>
        <w:tc>
          <w:tcPr>
            <w:tcW w:type="dxa" w:w="69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Claim credits without storing data; deny retrieval; attempt to read shard content</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Profile C — Sybil Attacker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Attribute</w:t>
            </w:r>
          </w:p>
        </w:tc>
        <w:tc>
          <w:tcPr>
            <w:tcW w:type="dxa" w:w="69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Detail</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Motivation</w:t>
            </w:r>
          </w:p>
        </w:tc>
        <w:tc>
          <w:tcPr>
            <w:tcW w:type="dxa" w:w="69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Gain disproportionate influence over consensus; eclipse specific files</w:t>
            </w:r>
          </w:p>
        </w:tc>
      </w:tr>
      <w:tr>
        <w:tc>
          <w:tcPr>
            <w:tcW w:type="dxa" w:w="24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Capability</w:t>
            </w:r>
          </w:p>
        </w:tc>
        <w:tc>
          <w:tcPr>
            <w:tcW w:type="dxa" w:w="69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Control many node identities from the same infrastructure; can pass basic connectivity checks</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relevance</w:t>
            </w:r>
          </w:p>
        </w:tc>
        <w:tc>
          <w:tcPr>
            <w:tcW w:type="dxa" w:w="69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3 only (open participation allows mass joining)</w:t>
            </w:r>
          </w:p>
        </w:tc>
      </w:tr>
      <w:tr>
        <w:tc>
          <w:tcPr>
            <w:tcW w:type="dxa" w:w="24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Goal</w:t>
            </w:r>
          </w:p>
        </w:tc>
        <w:tc>
          <w:tcPr>
            <w:tcW w:type="dxa" w:w="69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Control enough nodes to corrupt 5-of-9 erasure coding for a targeted file; manipulate credit consensus</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Profile D — Compromised Insider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Attribute</w:t>
            </w:r>
          </w:p>
        </w:tc>
        <w:tc>
          <w:tcPr>
            <w:tcW w:type="dxa" w:w="69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Detail</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Motivation</w:t>
            </w:r>
          </w:p>
        </w:tc>
        <w:tc>
          <w:tcPr>
            <w:tcW w:type="dxa" w:w="69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Steal user data, sabotage a specific user's backups, sell access</w:t>
            </w:r>
          </w:p>
        </w:tc>
      </w:tr>
      <w:tr>
        <w:tc>
          <w:tcPr>
            <w:tcW w:type="dxa" w:w="24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Capability</w:t>
            </w:r>
          </w:p>
        </w:tc>
        <w:tc>
          <w:tcPr>
            <w:tcW w:type="dxa" w:w="69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Physical or remote access to one or more trusted peer nodes (Z2 scenario); knows the invite chain</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relevance</w:t>
            </w:r>
          </w:p>
        </w:tc>
        <w:tc>
          <w:tcPr>
            <w:tcW w:type="dxa" w:w="69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2 primarily; Phase 3 via corrupted reputation</w:t>
            </w:r>
          </w:p>
        </w:tc>
      </w:tr>
      <w:tr>
        <w:tc>
          <w:tcPr>
            <w:tcW w:type="dxa" w:w="24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Goal</w:t>
            </w:r>
          </w:p>
        </w:tc>
        <w:tc>
          <w:tcPr>
            <w:tcW w:type="dxa" w:w="69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Access plaintext user data; selectively fail PoR challenges; corrupt the credit ledger</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Profile E — Nation-State or Legal Adversary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Attribute</w:t>
            </w:r>
          </w:p>
        </w:tc>
        <w:tc>
          <w:tcPr>
            <w:tcW w:type="dxa" w:w="69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Detail</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Motivation</w:t>
            </w:r>
          </w:p>
        </w:tc>
        <w:tc>
          <w:tcPr>
            <w:tcW w:type="dxa" w:w="69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Compelled disclosure, surveillance, content takedown</w:t>
            </w:r>
          </w:p>
        </w:tc>
      </w:tr>
      <w:tr>
        <w:tc>
          <w:tcPr>
            <w:tcW w:type="dxa" w:w="24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Capability</w:t>
            </w:r>
          </w:p>
        </w:tc>
        <w:tc>
          <w:tcPr>
            <w:tcW w:type="dxa" w:w="69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Legal access to node hardware; infrastructure-level traffic monitoring</w:t>
            </w:r>
          </w:p>
        </w:tc>
      </w:tr>
      <w:tr>
        <w:tc>
          <w:tcPr>
            <w:tcW w:type="dxa" w:w="2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relevance</w:t>
            </w:r>
          </w:p>
        </w:tc>
        <w:tc>
          <w:tcPr>
            <w:tcW w:type="dxa" w:w="69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All phases</w:t>
            </w:r>
          </w:p>
        </w:tc>
      </w:tr>
      <w:tr>
        <w:tc>
          <w:tcPr>
            <w:tcW w:type="dxa" w:w="24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Goal</w:t>
            </w:r>
          </w:p>
        </w:tc>
        <w:tc>
          <w:tcPr>
            <w:tcW w:type="dxa" w:w="69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Obtain plaintext user data; identify what files a specific user is storing</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color="FFFFFF" w:sz="0"/>
              <w:left w:val="nil" w:color="FFFFFF" w:sz="0"/>
              <w:bottom w:val="nil" w:color="FFFFFF" w:sz="0"/>
              <w:right w:val="nil" w:color="FFFFFF" w:sz="0"/>
            </w:tcBorders>
            <w:shd w:fill="EAF2F8" w:val="clear"/>
            <w:tcMar>
              <w:top w:type="dxa" w:w="120"/>
              <w:left w:type="dxa" w:w="200"/>
              <w:bottom w:type="dxa" w:w="120"/>
              <w:right w:type="dxa" w:w="200"/>
            </w:tcMar>
          </w:tcPr>
          <w:p>
            <w:pPr>
              <w:spacing w:before="0" w:after="0"/>
            </w:pPr>
            <w:r>
              <w:rPr>
                <w:rFonts w:ascii="Arial" w:cs="Arial" w:eastAsia="Arial" w:hAnsi="Arial"/>
                <w:b/>
                <w:bCs/>
                <w:color w:val="1B3A5C"/>
                <w:sz w:val="20"/>
                <w:szCs w:val="20"/>
              </w:rPr>
              <w:t xml:space="preserve">📌 NOTE  </w:t>
            </w:r>
            <w:r>
              <w:rPr>
                <w:rFonts w:ascii="Arial" w:cs="Arial" w:eastAsia="Arial" w:hAnsi="Arial"/>
                <w:color w:val="1A1A1A"/>
                <w:sz w:val="20"/>
                <w:szCs w:val="20"/>
              </w:rPr>
              <w:t xml:space="preserve">Profile E — Nation-State: The content-blind architecture means even hardware seizure of all nodes yields only encrypted shards. No individual node holds both the data and the key. Legal compelled disclosure of node contents produces only ciphertext. This is by design and should be understood by all node operators.</w:t>
            </w:r>
          </w:p>
        </w:tc>
      </w:tr>
    </w:tbl>
    <w:p>
      <w:pPr>
        <w:spacing w:before="60" w:after="60"/>
      </w:pPr>
      <w:r>
        <w:t xml:space="preserve"/>
      </w:r>
    </w:p>
    <w:p>
      <w:pPr>
        <w:pStyle w:val="Heading1"/>
        <w:pBdr>
          <w:bottom w:val="single" w:color="1A6B72" w:sz="6" w:space="6"/>
        </w:pBdr>
        <w:spacing w:before="360" w:after="160"/>
      </w:pPr>
      <w:r>
        <w:rPr>
          <w:rFonts w:ascii="Arial" w:cs="Arial" w:eastAsia="Arial" w:hAnsi="Arial"/>
          <w:b/>
          <w:bCs/>
          <w:color w:val="1B3A5C"/>
          <w:sz w:val="32"/>
          <w:szCs w:val="32"/>
        </w:rPr>
        <w:t xml:space="preserve">4. Threat Catalog</w:t>
      </w:r>
    </w:p>
    <w:p>
      <w:pPr>
        <w:spacing w:before="60" w:after="80"/>
      </w:pPr>
      <w:r>
        <w:rPr>
          <w:rFonts w:ascii="Arial" w:cs="Arial" w:eastAsia="Arial" w:hAnsi="Arial"/>
          <w:color w:val="1A1A1A"/>
          <w:sz w:val="20"/>
          <w:szCs w:val="20"/>
        </w:rPr>
        <w:t xml:space="preserve">Threats are organized by component. Each threat is assigned a unique ID, a severity rating, the applicable phase(s), and its primary countermeasure. Severity is assessed as: CRITICAL (data loss or full compromise), HIGH (significant degradation or partial exposure), MEDIUM (disruption or credit fraud), LOW (minor impact or theoretical).</w:t>
      </w:r>
    </w:p>
    <w:p>
      <w:pPr>
        <w:spacing w:before="60" w:after="60"/>
      </w:pPr>
      <w:r>
        <w:t xml:space="preserve"/>
      </w:r>
    </w:p>
    <w:p>
      <w:pPr>
        <w:pStyle w:val="Heading2"/>
        <w:spacing w:before="280" w:after="120"/>
      </w:pPr>
      <w:r>
        <w:rPr>
          <w:rFonts w:ascii="Arial" w:cs="Arial" w:eastAsia="Arial" w:hAnsi="Arial"/>
          <w:b/>
          <w:bCs/>
          <w:color w:val="1A6B72"/>
          <w:sz w:val="26"/>
          <w:szCs w:val="26"/>
        </w:rPr>
        <w:t xml:space="preserve">4.1 Identity and Key Management Threats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1800"/>
        <w:gridCol w:w="1860"/>
      </w:tblGrid>
      <w:tr>
        <w:trPr>
          <w:tblHeader/>
        </w:trPr>
        <w:tc>
          <w:tcPr>
            <w:tcW w:type="dxa" w:w="22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Threat ID / Name</w:t>
            </w:r>
          </w:p>
        </w:tc>
        <w:tc>
          <w:tcPr>
            <w:tcW w:type="dxa" w:w="35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Description &amp; Attack Vector</w:t>
            </w:r>
          </w:p>
        </w:tc>
        <w:tc>
          <w:tcPr>
            <w:tcW w:type="dxa" w:w="18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Severity</w:t>
            </w:r>
          </w:p>
        </w:tc>
        <w:tc>
          <w:tcPr>
            <w:tcW w:type="dxa" w:w="18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Primary Defense</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T-ID-01
Passphrase brute-force</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Attacker with filesystem access attempts offline dictionary attack against the encrypted identity file.</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Argon2id KDF (memory-hard); high iteration cost makes brute-force infeasible on current hardware</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T-ID-02
Keypair theft via OS compromise</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Attacker with local OS access reads decrypted keypair from memory or unlocked keystore.</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Keypair is only decrypted in process memory; file at rest always encrypted; mitigated by OS security posture (out of scope)</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T-ID-03
Identity spoofing</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Node presents a fabricated keypair claiming to be a trusted peer.</w:t>
            </w:r>
          </w:p>
        </w:tc>
        <w:tc>
          <w:tcPr>
            <w:tcW w:type="dxa" w:w="1800"/>
            <w:tcBorders>
              <w:top w:val="single" w:color="D5D8DC" w:sz="1"/>
              <w:left w:val="single" w:color="D5D8DC" w:sz="1"/>
              <w:bottom w:val="single" w:color="D5D8DC" w:sz="1"/>
              <w:right w:val="single" w:color="D5D8DC" w:sz="1"/>
            </w:tcBorders>
            <w:shd w:fill="C0392B"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CRITICAL</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All gossip messages signed with ML-DSA; mTLS cert derived from keypair; unsigned messages dropped</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T-ID-04
Key compromise — forward secrecy failure</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Attacker obtains current session key and uses it to decrypt historical communications.</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HKDF-derived per-session keys + double ratchet for group keys (CR-06); compromise of current key does not expose past sessions</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4.2 Storage Engine Threats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1800"/>
        <w:gridCol w:w="1860"/>
      </w:tblGrid>
      <w:tr>
        <w:trPr>
          <w:tblHeader/>
        </w:trPr>
        <w:tc>
          <w:tcPr>
            <w:tcW w:type="dxa" w:w="22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Threat ID / Name</w:t>
            </w:r>
          </w:p>
        </w:tc>
        <w:tc>
          <w:tcPr>
            <w:tcW w:type="dxa" w:w="35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Description &amp; Attack Vector</w:t>
            </w:r>
          </w:p>
        </w:tc>
        <w:tc>
          <w:tcPr>
            <w:tcW w:type="dxa" w:w="18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Severity</w:t>
            </w:r>
          </w:p>
        </w:tc>
        <w:tc>
          <w:tcPr>
            <w:tcW w:type="dxa" w:w="18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Primary Defense</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T-ST-01
Plaintext shard written to disk</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Bug in storage layer writes pre-encryption data to Pebble.</w:t>
            </w:r>
          </w:p>
        </w:tc>
        <w:tc>
          <w:tcPr>
            <w:tcW w:type="dxa" w:w="1800"/>
            <w:tcBorders>
              <w:top w:val="single" w:color="D5D8DC" w:sz="1"/>
              <w:left w:val="single" w:color="D5D8DC" w:sz="1"/>
              <w:bottom w:val="single" w:color="D5D8DC" w:sz="1"/>
              <w:right w:val="single" w:color="D5D8DC" w:sz="1"/>
            </w:tcBorders>
            <w:shd w:fill="C0392B"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CRITICAL</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ST-04 mandates encryption before any disk write; integration test verifies no plaintext on disk</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T-ST-02
Shard manifest tampering</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Attacker modifies the local shard manifest to hide missing shards from PoR.</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Manifest entries are signed; PoR challenges independently verify shard content, not just manifest entries</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T-ST-03
Storage quota bypass</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Malicious node accepts more shards than quota allows, causing disk exhaustion.</w:t>
            </w:r>
          </w:p>
        </w:tc>
        <w:tc>
          <w:tcPr>
            <w:tcW w:type="dxa" w:w="1800"/>
            <w:tcBorders>
              <w:top w:val="single" w:color="D5D8DC" w:sz="1"/>
              <w:left w:val="single" w:color="D5D8DC" w:sz="1"/>
              <w:bottom w:val="single" w:color="D5D8DC" w:sz="1"/>
              <w:right w:val="single" w:color="D5D8DC" w:sz="1"/>
            </w:tcBorders>
            <w:shd w:fill="F1C40F" w:val="clear"/>
            <w:tcMar>
              <w:top w:type="dxa" w:w="80"/>
              <w:left w:type="dxa" w:w="140"/>
              <w:bottom w:type="dxa" w:w="80"/>
              <w:right w:type="dxa" w:w="140"/>
            </w:tcMar>
            <w:vAlign w:val="center"/>
          </w:tcPr>
          <w:p>
            <w:pPr>
              <w:spacing w:before="0" w:after="0"/>
              <w:jc w:val="center"/>
            </w:pPr>
            <w:r>
              <w:rPr>
                <w:rFonts w:ascii="Arial" w:cs="Arial" w:eastAsia="Arial" w:hAnsi="Arial"/>
                <w:b/>
                <w:bCs/>
                <w:color w:val="1A1A1A"/>
                <w:sz w:val="18"/>
                <w:szCs w:val="18"/>
              </w:rPr>
              <w:t xml:space="preserve">MEDIUM</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ST-03 enforces quota at write time; quota checked before PutShard; REST API returns 507 on overflow</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T-ST-04
Partial shard write (crash safety)</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Power loss during shard write leaves a partial or corrupt shard.</w:t>
            </w:r>
          </w:p>
        </w:tc>
        <w:tc>
          <w:tcPr>
            <w:tcW w:type="dxa" w:w="1800"/>
            <w:tcBorders>
              <w:top w:val="single" w:color="D5D8DC" w:sz="1"/>
              <w:left w:val="single" w:color="D5D8DC" w:sz="1"/>
              <w:bottom w:val="single" w:color="D5D8DC" w:sz="1"/>
              <w:right w:val="single" w:color="D5D8DC" w:sz="1"/>
            </w:tcBorders>
            <w:shd w:fill="F1C40F" w:val="clear"/>
            <w:tcMar>
              <w:top w:type="dxa" w:w="80"/>
              <w:left w:type="dxa" w:w="140"/>
              <w:bottom w:type="dxa" w:w="80"/>
              <w:right w:type="dxa" w:w="140"/>
            </w:tcMar>
            <w:vAlign w:val="center"/>
          </w:tcPr>
          <w:p>
            <w:pPr>
              <w:spacing w:before="0" w:after="0"/>
              <w:jc w:val="center"/>
            </w:pPr>
            <w:r>
              <w:rPr>
                <w:rFonts w:ascii="Arial" w:cs="Arial" w:eastAsia="Arial" w:hAnsi="Arial"/>
                <w:b/>
                <w:bCs/>
                <w:color w:val="1A1A1A"/>
                <w:sz w:val="18"/>
                <w:szCs w:val="18"/>
              </w:rPr>
              <w:t xml:space="preserve">MEDIUM</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Pebble WAL-backed (ST-01); atomic commit pattern (ST-06) — write-verify-confirm before updating manifest</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4.3 Network and Transport Threats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1800"/>
        <w:gridCol w:w="1860"/>
      </w:tblGrid>
      <w:tr>
        <w:trPr>
          <w:tblHeader/>
        </w:trPr>
        <w:tc>
          <w:tcPr>
            <w:tcW w:type="dxa" w:w="22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Threat ID / Name</w:t>
            </w:r>
          </w:p>
        </w:tc>
        <w:tc>
          <w:tcPr>
            <w:tcW w:type="dxa" w:w="35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Description &amp; Attack Vector</w:t>
            </w:r>
          </w:p>
        </w:tc>
        <w:tc>
          <w:tcPr>
            <w:tcW w:type="dxa" w:w="18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Severity</w:t>
            </w:r>
          </w:p>
        </w:tc>
        <w:tc>
          <w:tcPr>
            <w:tcW w:type="dxa" w:w="18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Primary Defense</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T-NT-01
Man-in-the-middle on shard transfer</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Attacker on the network path intercepts and modifies shard data in transit.</w:t>
            </w:r>
          </w:p>
        </w:tc>
        <w:tc>
          <w:tcPr>
            <w:tcW w:type="dxa" w:w="1800"/>
            <w:tcBorders>
              <w:top w:val="single" w:color="D5D8DC" w:sz="1"/>
              <w:left w:val="single" w:color="D5D8DC" w:sz="1"/>
              <w:bottom w:val="single" w:color="D5D8DC" w:sz="1"/>
              <w:right w:val="single" w:color="D5D8DC" w:sz="1"/>
            </w:tcBorders>
            <w:shd w:fill="C0392B"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CRITICAL</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ML-KEM key exchange + mutual TLS on all connections (CR-08, NT-03); modified ciphertext fails AEAD authentication</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T-NT-02
Relay node eavesdropping</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Relay node operator attempts to read relayed traffic.</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E2EE preserved: relay sees only encrypted QUIC packets (NAT-03); relay has no access to ML-KEM session keys</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T-NT-03
Gossip flooding / amplification</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Adversarial node sends high-volume gossip to exhaust bandwidth and CPU.</w:t>
            </w:r>
          </w:p>
        </w:tc>
        <w:tc>
          <w:tcPr>
            <w:tcW w:type="dxa" w:w="1800"/>
            <w:tcBorders>
              <w:top w:val="single" w:color="D5D8DC" w:sz="1"/>
              <w:left w:val="single" w:color="D5D8DC" w:sz="1"/>
              <w:bottom w:val="single" w:color="D5D8DC" w:sz="1"/>
              <w:right w:val="single" w:color="D5D8DC" w:sz="1"/>
            </w:tcBorders>
            <w:shd w:fill="F1C40F" w:val="clear"/>
            <w:tcMar>
              <w:top w:type="dxa" w:w="80"/>
              <w:left w:type="dxa" w:w="140"/>
              <w:bottom w:type="dxa" w:w="80"/>
              <w:right w:type="dxa" w:w="140"/>
            </w:tcMar>
            <w:vAlign w:val="center"/>
          </w:tcPr>
          <w:p>
            <w:pPr>
              <w:spacing w:before="0" w:after="0"/>
              <w:jc w:val="center"/>
            </w:pPr>
            <w:r>
              <w:rPr>
                <w:rFonts w:ascii="Arial" w:cs="Arial" w:eastAsia="Arial" w:hAnsi="Arial"/>
                <w:b/>
                <w:bCs/>
                <w:color w:val="1A1A1A"/>
                <w:sz w:val="18"/>
                <w:szCs w:val="18"/>
              </w:rPr>
              <w:t xml:space="preserve">MEDIUM</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GP-08 per-source rate limiting (100 msg/sec default); GP-09 size cap (1MB max); temporary ban on violators</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T-NT-04
Bootstrap node as single point of failure</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Bootstrap node goes offline; new nodes cannot join and existing nodes lose peer discovery.</w:t>
            </w:r>
          </w:p>
        </w:tc>
        <w:tc>
          <w:tcPr>
            <w:tcW w:type="dxa" w:w="1800"/>
            <w:tcBorders>
              <w:top w:val="single" w:color="D5D8DC" w:sz="1"/>
              <w:left w:val="single" w:color="D5D8DC" w:sz="1"/>
              <w:bottom w:val="single" w:color="D5D8DC" w:sz="1"/>
              <w:right w:val="single" w:color="D5D8DC" w:sz="1"/>
            </w:tcBorders>
            <w:shd w:fill="F1C40F" w:val="clear"/>
            <w:tcMar>
              <w:top w:type="dxa" w:w="80"/>
              <w:left w:type="dxa" w:w="140"/>
              <w:bottom w:type="dxa" w:w="80"/>
              <w:right w:type="dxa" w:w="140"/>
            </w:tcMar>
            <w:vAlign w:val="center"/>
          </w:tcPr>
          <w:p>
            <w:pPr>
              <w:spacing w:before="0" w:after="0"/>
              <w:jc w:val="center"/>
            </w:pPr>
            <w:r>
              <w:rPr>
                <w:rFonts w:ascii="Arial" w:cs="Arial" w:eastAsia="Arial" w:hAnsi="Arial"/>
                <w:b/>
                <w:bCs/>
                <w:color w:val="1A1A1A"/>
                <w:sz w:val="18"/>
                <w:szCs w:val="18"/>
              </w:rPr>
              <w:t xml:space="preserve">MEDIUM</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PD-06 requires 2+ bootstrap peers from distinct locations; DHT (Phase 3) eliminates bootstrap dependency entirely</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T-NT-05
Eclipse attack</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Attacker isolates a node by filling its peer table with adversary-controlled nodes.</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Peer list diversity enforcement (3+ ASNs, 3+ regions in Phase 3); mDNS provides independent LAN discovery channel</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T-NT-06
NAT traversal failure — data unavailability</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UDP hole punching fails; node becomes unreachable and its shards are inaccessible.</w:t>
            </w:r>
          </w:p>
        </w:tc>
        <w:tc>
          <w:tcPr>
            <w:tcW w:type="dxa" w:w="1800"/>
            <w:tcBorders>
              <w:top w:val="single" w:color="D5D8DC" w:sz="1"/>
              <w:left w:val="single" w:color="D5D8DC" w:sz="1"/>
              <w:bottom w:val="single" w:color="D5D8DC" w:sz="1"/>
              <w:right w:val="single" w:color="D5D8DC" w:sz="1"/>
            </w:tcBorders>
            <w:shd w:fill="F1C40F" w:val="clear"/>
            <w:tcMar>
              <w:top w:type="dxa" w:w="80"/>
              <w:left w:type="dxa" w:w="140"/>
              <w:bottom w:type="dxa" w:w="80"/>
              <w:right w:type="dxa" w:w="140"/>
            </w:tcMar>
            <w:vAlign w:val="center"/>
          </w:tcPr>
          <w:p>
            <w:pPr>
              <w:spacing w:before="0" w:after="0"/>
              <w:jc w:val="center"/>
            </w:pPr>
            <w:r>
              <w:rPr>
                <w:rFonts w:ascii="Arial" w:cs="Arial" w:eastAsia="Arial" w:hAnsi="Arial"/>
                <w:b/>
                <w:bCs/>
                <w:color w:val="1A1A1A"/>
                <w:sz w:val="18"/>
                <w:szCs w:val="18"/>
              </w:rPr>
              <w:t xml:space="preserve">MEDIUM</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Relay fallback for symmetric NAT (NAT-02); 5-of-9 erasure coding tolerates multiple simultaneous failures</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4.4 Proof of Retrievability Threats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1800"/>
        <w:gridCol w:w="1860"/>
      </w:tblGrid>
      <w:tr>
        <w:trPr>
          <w:tblHeader/>
        </w:trPr>
        <w:tc>
          <w:tcPr>
            <w:tcW w:type="dxa" w:w="22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Threat ID / Name</w:t>
            </w:r>
          </w:p>
        </w:tc>
        <w:tc>
          <w:tcPr>
            <w:tcW w:type="dxa" w:w="35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Description &amp; Attack Vector</w:t>
            </w:r>
          </w:p>
        </w:tc>
        <w:tc>
          <w:tcPr>
            <w:tcW w:type="dxa" w:w="18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Severity</w:t>
            </w:r>
          </w:p>
        </w:tc>
        <w:tc>
          <w:tcPr>
            <w:tcW w:type="dxa" w:w="18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Primary Defense</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T-PR-01
Fake storage — challenge farming</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Node discards shard but pre-computes answers to all possible challenges.</w:t>
            </w:r>
          </w:p>
        </w:tc>
        <w:tc>
          <w:tcPr>
            <w:tcW w:type="dxa" w:w="1800"/>
            <w:tcBorders>
              <w:top w:val="single" w:color="D5D8DC" w:sz="1"/>
              <w:left w:val="single" w:color="D5D8DC" w:sz="1"/>
              <w:bottom w:val="single" w:color="D5D8DC" w:sz="1"/>
              <w:right w:val="single" w:color="D5D8DC" w:sz="1"/>
            </w:tcBorders>
            <w:shd w:fill="C0392B"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CRITICAL</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Verifier derives challenge parameters (start, end, nonce) fresh from seed + random salt independently; holder cannot know parameters in advance; PR-01/PR-02 architecture prevents pre-computation</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T-PR-02
Challenge replay</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Node replays a valid past challenge response to a new challenge.</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Each challenge includes a fresh random salt; response is over bytes XOR nonce where nonce is derived from salt + seed; stale responses will not match</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T-PR-03
Colluding verifiers</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Quorum of verifier peers conspires to pass challenges for a node not holding the shard.</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PoR challenges issued by random peers (PR-06); 3+ independent verifiers required; Byzantine tolerance means up to f = floor((n-1)/3) colluding verifiers are tolerated</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T-PR-04
Challenge timing attack — infer shard size</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Attacker measures PoR response times to infer shard content or size.</w:t>
            </w:r>
          </w:p>
        </w:tc>
        <w:tc>
          <w:tcPr>
            <w:tcW w:type="dxa" w:w="1800"/>
            <w:tcBorders>
              <w:top w:val="single" w:color="D5D8DC" w:sz="1"/>
              <w:left w:val="single" w:color="D5D8DC" w:sz="1"/>
              <w:bottom w:val="single" w:color="D5D8DC" w:sz="1"/>
              <w:right w:val="single" w:color="D5D8DC" w:sz="1"/>
            </w:tcBorders>
            <w:shd w:fill="F1C40F" w:val="clear"/>
            <w:tcMar>
              <w:top w:type="dxa" w:w="80"/>
              <w:left w:type="dxa" w:w="140"/>
              <w:bottom w:type="dxa" w:w="80"/>
              <w:right w:type="dxa" w:w="140"/>
            </w:tcMar>
            <w:vAlign w:val="center"/>
          </w:tcPr>
          <w:p>
            <w:pPr>
              <w:spacing w:before="0" w:after="0"/>
              <w:jc w:val="center"/>
            </w:pPr>
            <w:r>
              <w:rPr>
                <w:rFonts w:ascii="Arial" w:cs="Arial" w:eastAsia="Arial" w:hAnsi="Arial"/>
                <w:b/>
                <w:bCs/>
                <w:color w:val="1A1A1A"/>
                <w:sz w:val="18"/>
                <w:szCs w:val="18"/>
              </w:rPr>
              <w:t xml:space="preserve">MEDIUM</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NF-17: all shards padded to nearest power-of-two boundary; retrieval responses include 0-500ms random jitter</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T-PR-05
ZK proof forgery</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Attacker constructs a valid-looking ZK-PoR proof without holding the shard.</w:t>
            </w:r>
          </w:p>
        </w:tc>
        <w:tc>
          <w:tcPr>
            <w:tcW w:type="dxa" w:w="1800"/>
            <w:tcBorders>
              <w:top w:val="single" w:color="D5D8DC" w:sz="1"/>
              <w:left w:val="single" w:color="D5D8DC" w:sz="1"/>
              <w:bottom w:val="single" w:color="D5D8DC" w:sz="1"/>
              <w:right w:val="single" w:color="D5D8DC" w:sz="1"/>
            </w:tcBorders>
            <w:shd w:fill="C0392B"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CRITICAL</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Soundness guarantee of Groth16/PLONK zk-SNARK; forgery requires solving a computationally hard problem (discrete log); gnark library used (audited pure Go)</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4.5 Credit System and Consensus Threats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1800"/>
        <w:gridCol w:w="1860"/>
      </w:tblGrid>
      <w:tr>
        <w:trPr>
          <w:tblHeader/>
        </w:trPr>
        <w:tc>
          <w:tcPr>
            <w:tcW w:type="dxa" w:w="22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Threat ID / Name</w:t>
            </w:r>
          </w:p>
        </w:tc>
        <w:tc>
          <w:tcPr>
            <w:tcW w:type="dxa" w:w="35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Description &amp; Attack Vector</w:t>
            </w:r>
          </w:p>
        </w:tc>
        <w:tc>
          <w:tcPr>
            <w:tcW w:type="dxa" w:w="18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Severity</w:t>
            </w:r>
          </w:p>
        </w:tc>
        <w:tc>
          <w:tcPr>
            <w:tcW w:type="dxa" w:w="18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Primary Defense</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T-CL-01
Double credit claim</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Node submits the same credit claim to multiple quorums simultaneously.</w:t>
            </w:r>
          </w:p>
        </w:tc>
        <w:tc>
          <w:tcPr>
            <w:tcW w:type="dxa" w:w="1800"/>
            <w:tcBorders>
              <w:top w:val="single" w:color="D5D8DC" w:sz="1"/>
              <w:left w:val="single" w:color="D5D8DC" w:sz="1"/>
              <w:bottom w:val="single" w:color="D5D8DC" w:sz="1"/>
              <w:right w:val="single" w:color="D5D8DC" w:sz="1"/>
            </w:tcBorders>
            <w:shd w:fill="F1C40F" w:val="clear"/>
            <w:tcMar>
              <w:top w:type="dxa" w:w="80"/>
              <w:left w:type="dxa" w:w="140"/>
              <w:bottom w:type="dxa" w:w="80"/>
              <w:right w:type="dxa" w:w="140"/>
            </w:tcMar>
            <w:vAlign w:val="center"/>
          </w:tcPr>
          <w:p>
            <w:pPr>
              <w:spacing w:before="0" w:after="0"/>
              <w:jc w:val="center"/>
            </w:pPr>
            <w:r>
              <w:rPr>
                <w:rFonts w:ascii="Arial" w:cs="Arial" w:eastAsia="Arial" w:hAnsi="Arial"/>
                <w:b/>
                <w:bCs/>
                <w:color w:val="1A1A1A"/>
                <w:sz w:val="18"/>
                <w:szCs w:val="18"/>
              </w:rPr>
              <w:t xml:space="preserve">MEDIUM</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CL-09 epoch sequence numbers established by network-wide consensus; conflicting claims for same epoch resolved by higher-reputation quorum</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T-CL-02
Free-rider — consume without contribute</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Node stores data on the network but refuses to store data for others.</w:t>
            </w:r>
          </w:p>
        </w:tc>
        <w:tc>
          <w:tcPr>
            <w:tcW w:type="dxa" w:w="1800"/>
            <w:tcBorders>
              <w:top w:val="single" w:color="D5D8DC" w:sz="1"/>
              <w:left w:val="single" w:color="D5D8DC" w:sz="1"/>
              <w:bottom w:val="single" w:color="D5D8DC" w:sz="1"/>
              <w:right w:val="single" w:color="D5D8DC" w:sz="1"/>
            </w:tcBorders>
            <w:shd w:fill="F1C40F" w:val="clear"/>
            <w:tcMar>
              <w:top w:type="dxa" w:w="80"/>
              <w:left w:type="dxa" w:w="140"/>
              <w:bottom w:type="dxa" w:w="80"/>
              <w:right w:type="dxa" w:w="140"/>
            </w:tcMar>
            <w:vAlign w:val="center"/>
          </w:tcPr>
          <w:p>
            <w:pPr>
              <w:spacing w:before="0" w:after="0"/>
              <w:jc w:val="center"/>
            </w:pPr>
            <w:r>
              <w:rPr>
                <w:rFonts w:ascii="Arial" w:cs="Arial" w:eastAsia="Arial" w:hAnsi="Arial"/>
                <w:b/>
                <w:bCs/>
                <w:color w:val="1A1A1A"/>
                <w:sz w:val="18"/>
                <w:szCs w:val="18"/>
              </w:rPr>
              <w:t xml:space="preserve">MEDIUM</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CL-07/CL-08 contribution accounting; persistent net takers throttled on retrieval priority (BitTorrent tit-for-tat model)</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T-CL-03
Credit claim without ZK-PoR (Phase 3)</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Node submits credit claim without attaching a valid ZK-PoR proof.</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CL-04 mandates ZK-PoR proof for all Phase 3 credit claims; claims without valid proof rejected by consensus</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T-CL-04
Byzantine consensus manipulation</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f+1 malicious nodes in a quorum attempt to force an invalid consensus decision.</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BC-03 tolerates up to floor((n-1)/3) Byzantine participants; 5-7 node quorums require 2-3 simultaneous colluding nodes</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T-CL-05
Credit ledger corruption</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Malicious node submits tampered ledger entries.</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CL-01 entries are signed by issuing node; CL-02 requires consensus validation; unsigned or unverifiable entries rejected</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4.6 Sybil and Reputation Threats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1800"/>
        <w:gridCol w:w="1860"/>
      </w:tblGrid>
      <w:tr>
        <w:trPr>
          <w:tblHeader/>
        </w:trPr>
        <w:tc>
          <w:tcPr>
            <w:tcW w:type="dxa" w:w="22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Threat ID / Name</w:t>
            </w:r>
          </w:p>
        </w:tc>
        <w:tc>
          <w:tcPr>
            <w:tcW w:type="dxa" w:w="35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Description &amp; Attack Vector</w:t>
            </w:r>
          </w:p>
        </w:tc>
        <w:tc>
          <w:tcPr>
            <w:tcW w:type="dxa" w:w="18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Severity</w:t>
            </w:r>
          </w:p>
        </w:tc>
        <w:tc>
          <w:tcPr>
            <w:tcW w:type="dxa" w:w="18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Primary Defense</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T-SY-01
Mass node creation (Sybil)</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Attacker creates hundreds of node identities to gain outsized influence over placement and consensus.</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Resource proof challenge on join (Weeks 11-12): must store 256MB dataset and prove it within 60s; PoW puzzle; reputation takes 72h probation to build</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T-SY-02
Reputation laundering</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Malicious node builds reputation legitimately, then uses it for a targeted attack.</w:t>
            </w:r>
          </w:p>
        </w:tc>
        <w:tc>
          <w:tcPr>
            <w:tcW w:type="dxa" w:w="1800"/>
            <w:tcBorders>
              <w:top w:val="single" w:color="D5D8DC" w:sz="1"/>
              <w:left w:val="single" w:color="D5D8DC" w:sz="1"/>
              <w:bottom w:val="single" w:color="D5D8DC" w:sz="1"/>
              <w:right w:val="single" w:color="D5D8DC" w:sz="1"/>
            </w:tcBorders>
            <w:shd w:fill="F1C40F" w:val="clear"/>
            <w:tcMar>
              <w:top w:type="dxa" w:w="80"/>
              <w:left w:type="dxa" w:w="140"/>
              <w:bottom w:type="dxa" w:w="80"/>
              <w:right w:type="dxa" w:w="140"/>
            </w:tcMar>
            <w:vAlign w:val="center"/>
          </w:tcPr>
          <w:p>
            <w:pPr>
              <w:spacing w:before="0" w:after="0"/>
              <w:jc w:val="center"/>
            </w:pPr>
            <w:r>
              <w:rPr>
                <w:rFonts w:ascii="Arial" w:cs="Arial" w:eastAsia="Arial" w:hAnsi="Arial"/>
                <w:b/>
                <w:bCs/>
                <w:color w:val="1A1A1A"/>
                <w:sz w:val="18"/>
                <w:szCs w:val="18"/>
              </w:rPr>
              <w:t xml:space="preserve">MEDIUM</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Reputation is continuous and decays; PoR failures penalize immediately; quarantine at 0.6 threshold; no reputation 'banking'</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T-SY-03
Fake reputation gossip</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Node broadcasts falsified reputation records for peers to inflate or deflate scores.</w:t>
            </w:r>
          </w:p>
        </w:tc>
        <w:tc>
          <w:tcPr>
            <w:tcW w:type="dxa" w:w="1800"/>
            <w:tcBorders>
              <w:top w:val="single" w:color="D5D8DC" w:sz="1"/>
              <w:left w:val="single" w:color="D5D8DC" w:sz="1"/>
              <w:bottom w:val="single" w:color="D5D8DC" w:sz="1"/>
              <w:right w:val="single" w:color="D5D8DC" w:sz="1"/>
            </w:tcBorders>
            <w:shd w:fill="F1C40F" w:val="clear"/>
            <w:tcMar>
              <w:top w:type="dxa" w:w="80"/>
              <w:left w:type="dxa" w:w="140"/>
              <w:bottom w:type="dxa" w:w="80"/>
              <w:right w:type="dxa" w:w="140"/>
            </w:tcMar>
            <w:vAlign w:val="center"/>
          </w:tcPr>
          <w:p>
            <w:pPr>
              <w:spacing w:before="0" w:after="0"/>
              <w:jc w:val="center"/>
            </w:pPr>
            <w:r>
              <w:rPr>
                <w:rFonts w:ascii="Arial" w:cs="Arial" w:eastAsia="Arial" w:hAnsi="Arial"/>
                <w:b/>
                <w:bCs/>
                <w:color w:val="1A1A1A"/>
                <w:sz w:val="18"/>
                <w:szCs w:val="18"/>
              </w:rPr>
              <w:t xml:space="preserve">MEDIUM</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RP-03: all reputation records signed; unsigned or unverifiable records discarded; aggregate score uses weighted average of all peer observations</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T-SY-04
Co-located Sybil detection evasion</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Attacker runs multiple nodes on different IPs but same AS/datacenter to evade Sybil detection.</w:t>
            </w:r>
          </w:p>
        </w:tc>
        <w:tc>
          <w:tcPr>
            <w:tcW w:type="dxa" w:w="1800"/>
            <w:tcBorders>
              <w:top w:val="single" w:color="D5D8DC" w:sz="1"/>
              <w:left w:val="single" w:color="D5D8DC" w:sz="1"/>
              <w:bottom w:val="single" w:color="D5D8DC" w:sz="1"/>
              <w:right w:val="single" w:color="D5D8DC" w:sz="1"/>
            </w:tcBorders>
            <w:shd w:fill="F1C40F" w:val="clear"/>
            <w:tcMar>
              <w:top w:type="dxa" w:w="80"/>
              <w:left w:type="dxa" w:w="140"/>
              <w:bottom w:type="dxa" w:w="80"/>
              <w:right w:type="dxa" w:w="140"/>
            </w:tcMar>
            <w:vAlign w:val="center"/>
          </w:tcPr>
          <w:p>
            <w:pPr>
              <w:spacing w:before="0" w:after="0"/>
              <w:jc w:val="center"/>
            </w:pPr>
            <w:r>
              <w:rPr>
                <w:rFonts w:ascii="Arial" w:cs="Arial" w:eastAsia="Arial" w:hAnsi="Arial"/>
                <w:b/>
                <w:bCs/>
                <w:color w:val="1A1A1A"/>
                <w:sz w:val="18"/>
                <w:szCs w:val="18"/>
              </w:rPr>
              <w:t xml:space="preserve">MEDIUM</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SH-06 enforces 3+ distinct ASN diversity; shard placement avoids over-concentration; GeoLite2 region diversity enforcement (SH-05)</w:t>
            </w:r>
          </w:p>
        </w:tc>
      </w:tr>
    </w:tbl>
    <w:p>
      <w:pPr>
        <w:spacing w:before="60" w:after="60"/>
      </w:pPr>
      <w:r>
        <w:t xml:space="preserve"/>
      </w:r>
    </w:p>
    <w:p>
      <w:pPr>
        <w:pStyle w:val="Heading2"/>
        <w:spacing w:before="280" w:after="120"/>
      </w:pPr>
      <w:r>
        <w:rPr>
          <w:rFonts w:ascii="Arial" w:cs="Arial" w:eastAsia="Arial" w:hAnsi="Arial"/>
          <w:b/>
          <w:bCs/>
          <w:color w:val="1A6B72"/>
          <w:sz w:val="26"/>
          <w:szCs w:val="26"/>
        </w:rPr>
        <w:t xml:space="preserve">4.7 Cryptographic Threats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1800"/>
        <w:gridCol w:w="1860"/>
      </w:tblGrid>
      <w:tr>
        <w:trPr>
          <w:tblHeader/>
        </w:trPr>
        <w:tc>
          <w:tcPr>
            <w:tcW w:type="dxa" w:w="22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Threat ID / Name</w:t>
            </w:r>
          </w:p>
        </w:tc>
        <w:tc>
          <w:tcPr>
            <w:tcW w:type="dxa" w:w="35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Description &amp; Attack Vector</w:t>
            </w:r>
          </w:p>
        </w:tc>
        <w:tc>
          <w:tcPr>
            <w:tcW w:type="dxa" w:w="18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Severity</w:t>
            </w:r>
          </w:p>
        </w:tc>
        <w:tc>
          <w:tcPr>
            <w:tcW w:type="dxa" w:w="18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Primary Defense</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T-CR-01
Quantum computer breaks key exchange</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 cryptographically relevant quantum computer breaks ECDH key exchange used in hybrid mode.</w:t>
            </w:r>
          </w:p>
        </w:tc>
        <w:tc>
          <w:tcPr>
            <w:tcW w:type="dxa" w:w="1800"/>
            <w:tcBorders>
              <w:top w:val="single" w:color="D5D8DC" w:sz="1"/>
              <w:left w:val="single" w:color="D5D8DC" w:sz="1"/>
              <w:bottom w:val="single" w:color="D5D8DC" w:sz="1"/>
              <w:right w:val="single" w:color="D5D8DC" w:sz="1"/>
            </w:tcBorders>
            <w:shd w:fill="E67E22"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HIGH</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CR-02/CR-07: ML-KEM (NIST FIPS 203) is the primary KEM; classical ECDH is hybrid supplement only, not sole protection</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T-CR-02
AEAD nonce reuse</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AES-256-GCM nonce is reused for two encryptions with the same key, breaking confidentiality.</w:t>
            </w:r>
          </w:p>
        </w:tc>
        <w:tc>
          <w:tcPr>
            <w:tcW w:type="dxa" w:w="1800"/>
            <w:tcBorders>
              <w:top w:val="single" w:color="D5D8DC" w:sz="1"/>
              <w:left w:val="single" w:color="D5D8DC" w:sz="1"/>
              <w:bottom w:val="single" w:color="D5D8DC" w:sz="1"/>
              <w:right w:val="single" w:color="D5D8DC" w:sz="1"/>
            </w:tcBorders>
            <w:shd w:fill="C0392B"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CRITICAL</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Per-shard random nonces (96-bit); HKDF-derived unique keys per shard; nonce reuse probabilistically negligible at shard counts below 2^32</w:t>
            </w:r>
          </w:p>
        </w:tc>
      </w:tr>
      <w:tr>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T-CR-03
Custom crypto implementation bug</w:t>
            </w:r>
          </w:p>
        </w:tc>
        <w:tc>
          <w:tcPr>
            <w:tcW w:type="dxa" w:w="35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 custom-written cryptographic primitive contains a subtle implementation error.</w:t>
            </w:r>
          </w:p>
        </w:tc>
        <w:tc>
          <w:tcPr>
            <w:tcW w:type="dxa" w:w="1800"/>
            <w:tcBorders>
              <w:top w:val="single" w:color="D5D8DC" w:sz="1"/>
              <w:left w:val="single" w:color="D5D8DC" w:sz="1"/>
              <w:bottom w:val="single" w:color="D5D8DC" w:sz="1"/>
              <w:right w:val="single" w:color="D5D8DC" w:sz="1"/>
            </w:tcBorders>
            <w:shd w:fill="C0392B" w:val="clear"/>
            <w:tcMar>
              <w:top w:type="dxa" w:w="80"/>
              <w:left w:type="dxa" w:w="140"/>
              <w:bottom w:type="dxa" w:w="80"/>
              <w:right w:type="dxa" w:w="140"/>
            </w:tcMar>
            <w:vAlign w:val="center"/>
          </w:tcPr>
          <w:p>
            <w:pPr>
              <w:spacing w:before="0" w:after="0"/>
              <w:jc w:val="center"/>
            </w:pPr>
            <w:r>
              <w:rPr>
                <w:rFonts w:ascii="Arial" w:cs="Arial" w:eastAsia="Arial" w:hAnsi="Arial"/>
                <w:b/>
                <w:bCs/>
                <w:color w:val="FFFFFF"/>
                <w:sz w:val="18"/>
                <w:szCs w:val="18"/>
              </w:rPr>
              <w:t xml:space="preserve">CRITICAL</w:t>
            </w:r>
          </w:p>
        </w:tc>
        <w:tc>
          <w:tcPr>
            <w:tcW w:type="dxa" w:w="18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NF-10 and CR-07 prohibit custom crypto; all primitives from Go stdlib or audited libraries (Trail of Bits, gnark team)</w:t>
            </w:r>
          </w:p>
        </w:tc>
      </w:tr>
      <w:tr>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b/>
                <w:bCs/>
                <w:color w:val="1B3A5C"/>
                <w:sz w:val="18"/>
                <w:szCs w:val="18"/>
              </w:rPr>
              <w:t xml:space="preserve">T-CR-04
Timing side-channel on crypto ops</w:t>
            </w:r>
          </w:p>
        </w:tc>
        <w:tc>
          <w:tcPr>
            <w:tcW w:type="dxa" w:w="35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Attacker infers key material from timing differences in cryptographic operations.</w:t>
            </w:r>
          </w:p>
        </w:tc>
        <w:tc>
          <w:tcPr>
            <w:tcW w:type="dxa" w:w="1800"/>
            <w:tcBorders>
              <w:top w:val="single" w:color="D5D8DC" w:sz="1"/>
              <w:left w:val="single" w:color="D5D8DC" w:sz="1"/>
              <w:bottom w:val="single" w:color="D5D8DC" w:sz="1"/>
              <w:right w:val="single" w:color="D5D8DC" w:sz="1"/>
            </w:tcBorders>
            <w:shd w:fill="F1C40F" w:val="clear"/>
            <w:tcMar>
              <w:top w:type="dxa" w:w="80"/>
              <w:left w:type="dxa" w:w="140"/>
              <w:bottom w:type="dxa" w:w="80"/>
              <w:right w:type="dxa" w:w="140"/>
            </w:tcMar>
            <w:vAlign w:val="center"/>
          </w:tcPr>
          <w:p>
            <w:pPr>
              <w:spacing w:before="0" w:after="0"/>
              <w:jc w:val="center"/>
            </w:pPr>
            <w:r>
              <w:rPr>
                <w:rFonts w:ascii="Arial" w:cs="Arial" w:eastAsia="Arial" w:hAnsi="Arial"/>
                <w:b/>
                <w:bCs/>
                <w:color w:val="1A1A1A"/>
                <w:sz w:val="18"/>
                <w:szCs w:val="18"/>
              </w:rPr>
              <w:t xml:space="preserve">MEDIUM</w:t>
            </w:r>
          </w:p>
        </w:tc>
        <w:tc>
          <w:tcPr>
            <w:tcW w:type="dxa" w:w="18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Libraries selected for constant-time implementation: Go stdlib (crypto/mlkem, crypto/aes), Trail of Bits ml-dsa; NF-17 response jitter</w:t>
            </w:r>
          </w:p>
        </w:tc>
      </w:tr>
    </w:tbl>
    <w:p>
      <w:pPr>
        <w:spacing w:before="60" w:after="60"/>
      </w:pPr>
      <w:r>
        <w:t xml:space="preserve"/>
      </w:r>
    </w:p>
    <w:p>
      <w:pPr>
        <w:pStyle w:val="Heading1"/>
        <w:pBdr>
          <w:bottom w:val="single" w:color="1A6B72" w:sz="6" w:space="6"/>
        </w:pBdr>
        <w:spacing w:before="360" w:after="160"/>
      </w:pPr>
      <w:r>
        <w:rPr>
          <w:rFonts w:ascii="Arial" w:cs="Arial" w:eastAsia="Arial" w:hAnsi="Arial"/>
          <w:b/>
          <w:bCs/>
          <w:color w:val="1B3A5C"/>
          <w:sz w:val="32"/>
          <w:szCs w:val="32"/>
        </w:rPr>
        <w:t xml:space="preserve">5. Threat-to-Requirement Traceability Matrix</w:t>
      </w:r>
    </w:p>
    <w:p>
      <w:pPr>
        <w:spacing w:before="60" w:after="80"/>
      </w:pPr>
      <w:r>
        <w:rPr>
          <w:rFonts w:ascii="Arial" w:cs="Arial" w:eastAsia="Arial" w:hAnsi="Arial"/>
          <w:color w:val="1A1A1A"/>
          <w:sz w:val="20"/>
          <w:szCs w:val="20"/>
        </w:rPr>
        <w:t xml:space="preserve">This matrix maps every identified threat to the SRD requirement(s) that address it, providing auditability during implementation and review.</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600"/>
        <w:gridCol w:w="2760"/>
      </w:tblGrid>
      <w:tr>
        <w:trPr>
          <w:tblHeader/>
        </w:trPr>
        <w:tc>
          <w:tcPr>
            <w:tcW w:type="dxa" w:w="12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Threat ID</w:t>
            </w:r>
          </w:p>
        </w:tc>
        <w:tc>
          <w:tcPr>
            <w:tcW w:type="dxa" w:w="28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SRD Requirements</w:t>
            </w:r>
          </w:p>
        </w:tc>
        <w:tc>
          <w:tcPr>
            <w:tcW w:type="dxa" w:w="26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Dev Plan Reference</w:t>
            </w:r>
          </w:p>
        </w:tc>
        <w:tc>
          <w:tcPr>
            <w:tcW w:type="dxa" w:w="27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Phase</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T-ID-01</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ID-04 (Argon2id), CR-07 (pure Go crypto)</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1 identity package</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P1</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T-ID-02</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ID-04, NF-13 (passphrase re-auth)</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1 identity package</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P1</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T-ID-03</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GP-03 (signed gossip), CR-03 (ML-DSA), CR-08 (mTLS)</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5 mTLS upgrade</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P2</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T-ID-04</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CR-06 (forward secrecy ratchet)</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Phase 2 crypto layer</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P2</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T-ST-01</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ST-04 (encryption before disk write)</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2 storage integration</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P1</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T-ST-02</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SH-08 (signed Merkle hashes), PR-01 (PoR)</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13 PoR engine</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P2/P3</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T-ST-03</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ST-03 (storage quota)</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1 storage package</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P1</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T-ST-04</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ST-01 (Pebble WAL), ST-06 (atomic commit)</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1 storage package</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P1/P2</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T-NT-01</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CR-01, CR-02, CR-08, NT-03</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5 mTLS upgrade</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P2</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T-NT-02</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NAT-03 (E2EE through relay)</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7 relay implementation</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P2</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T-NT-03</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GP-08 (rate limiting), GP-09 (size cap)</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5 gossip hardening</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P2</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T-NT-04</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PD-06 (min 2 bootstrap peers), NF-08</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8 bootstrap config</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P2</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T-NT-05</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SH-05/SH-06 (geo/ASN diversity), PD-04 (DHT)</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19 DHT</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P3</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T-NT-06</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NAT-02 (relay fallback), SH-02 (5-of-9 coding)</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7 NAT traversal</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P2</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T-PR-01</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PR-01, PR-02 (seed architecture)</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Weeks 13-14 PoR engine</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P3</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T-PR-02</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PR-02 (fresh salt per challenge)</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Weeks 13-14 PoR engine</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P3</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T-PR-03</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PR-06 (random verifiers), BC-03 (Byzantine tolerance)</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Weeks 13-15</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P3</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T-PR-04</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NF-17 (padding + jitter)</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2 (padding), Week 13 (jitter)</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P1/P3</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T-PR-05</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PR-07 (gnark zk-SNARK soundness)</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Weeks 15-16 ZK-PoR</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P3</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T-CL-01</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CL-09 (epoch sequence numbers)</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9 credit system</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P3</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T-CL-02</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CL-07, CL-08 (contribution accounting)</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Weeks 17-18 reputation</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P3</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T-CL-03</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CL-04 (ZK-PoR for credit claims)</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Weeks 15-16</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P3</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T-CL-04</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BC-01 through BC-05 (PBFT consensus)</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Weeks 9, 15-16</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P2/P3</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T-CL-05</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CL-01, CL-02 (signed + consensus validated)</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9 credit ledger</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P2</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T-SY-01</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RP-04 (probation), resource proof (Weeks 11-12)</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Weeks 11-12</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P3</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T-SY-02</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RP-05 (quarantine threshold), RP-02 (composite score)</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Weeks 17-18</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P3</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T-SY-03</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RP-03 (signed reputation records)</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Weeks 17-18</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P3</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T-SY-04</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SH-05, SH-06 (geo/ASN diversity enforcement)</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Weeks 17-18</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P3</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T-CR-01</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CR-02, CR-05 (ML-KEM primary, ECDH hybrid)</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2 crypto package</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P1</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T-CR-02</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CR-01 (AES-256-GCM), per-shard key derivation</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2 crypto package</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P1</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T-CR-03</w:t>
            </w:r>
          </w:p>
        </w:tc>
        <w:tc>
          <w:tcPr>
            <w:tcW w:type="dxa" w:w="2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NF-10, CR-07 (no custom crypto)</w:t>
            </w:r>
          </w:p>
        </w:tc>
        <w:tc>
          <w:tcPr>
            <w:tcW w:type="dxa" w:w="26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All milestones — hard constraint</w:t>
            </w:r>
          </w:p>
        </w:tc>
        <w:tc>
          <w:tcPr>
            <w:tcW w:type="dxa" w:w="27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P1</w:t>
            </w:r>
          </w:p>
        </w:tc>
      </w:tr>
      <w:tr>
        <w:tc>
          <w:tcPr>
            <w:tcW w:type="dxa" w:w="1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T-CR-04</w:t>
            </w:r>
          </w:p>
        </w:tc>
        <w:tc>
          <w:tcPr>
            <w:tcW w:type="dxa" w:w="2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NF-17, library selection (constant-time)</w:t>
            </w:r>
          </w:p>
        </w:tc>
        <w:tc>
          <w:tcPr>
            <w:tcW w:type="dxa" w:w="26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Week 2 + NF-17 jitter</w:t>
            </w:r>
          </w:p>
        </w:tc>
        <w:tc>
          <w:tcPr>
            <w:tcW w:type="dxa" w:w="27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P1/P3</w:t>
            </w:r>
          </w:p>
        </w:tc>
      </w:tr>
    </w:tbl>
    <w:p>
      <w:pPr>
        <w:spacing w:before="60" w:after="60"/>
      </w:pPr>
      <w:r>
        <w:t xml:space="preserve"/>
      </w:r>
    </w:p>
    <w:p>
      <w:pPr>
        <w:pStyle w:val="Heading1"/>
        <w:pBdr>
          <w:bottom w:val="single" w:color="1A6B72" w:sz="6" w:space="6"/>
        </w:pBdr>
        <w:spacing w:before="360" w:after="160"/>
      </w:pPr>
      <w:r>
        <w:rPr>
          <w:rFonts w:ascii="Arial" w:cs="Arial" w:eastAsia="Arial" w:hAnsi="Arial"/>
          <w:b/>
          <w:bCs/>
          <w:color w:val="1B3A5C"/>
          <w:sz w:val="32"/>
          <w:szCs w:val="32"/>
        </w:rPr>
        <w:t xml:space="preserve">6. Residual Risks and Open Items</w:t>
      </w:r>
    </w:p>
    <w:p>
      <w:pPr>
        <w:spacing w:before="60" w:after="80"/>
      </w:pPr>
      <w:r>
        <w:rPr>
          <w:rFonts w:ascii="Arial" w:cs="Arial" w:eastAsia="Arial" w:hAnsi="Arial"/>
          <w:color w:val="1A1A1A"/>
          <w:sz w:val="20"/>
          <w:szCs w:val="20"/>
        </w:rPr>
        <w:t xml:space="preserve">The following risks are known but not fully mitigated by the current architecture. Each must be revisited at the milestone indicated.</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2200"/>
        <w:gridCol w:w="2460"/>
      </w:tblGrid>
      <w:tr>
        <w:trPr>
          <w:tblHeader/>
        </w:trPr>
        <w:tc>
          <w:tcPr>
            <w:tcW w:type="dxa" w:w="9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Risk ID</w:t>
            </w:r>
          </w:p>
        </w:tc>
        <w:tc>
          <w:tcPr>
            <w:tcW w:type="dxa" w:w="38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Description</w:t>
            </w:r>
          </w:p>
        </w:tc>
        <w:tc>
          <w:tcPr>
            <w:tcW w:type="dxa" w:w="22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Status</w:t>
            </w:r>
          </w:p>
        </w:tc>
        <w:tc>
          <w:tcPr>
            <w:tcW w:type="dxa" w:w="24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Review Milestone</w:t>
            </w:r>
          </w:p>
        </w:tc>
      </w:tr>
      <w:tr>
        <w:tc>
          <w:tcPr>
            <w:tcW w:type="dxa" w:w="9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R-01</w:t>
            </w:r>
          </w:p>
        </w:tc>
        <w:tc>
          <w:tcPr>
            <w:tcW w:type="dxa" w:w="3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gnark proof generation may exceed 2s target on OptiPlex 990 — would require fallback to PLONK or proof batching</w:t>
            </w:r>
          </w:p>
        </w:tc>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OPEN — benchmark gate at Week 15</w:t>
            </w:r>
          </w:p>
        </w:tc>
        <w:tc>
          <w:tcPr>
            <w:tcW w:type="dxa" w:w="24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Milestone 3 / Week 15</w:t>
            </w:r>
          </w:p>
        </w:tc>
      </w:tr>
      <w:tr>
        <w:tc>
          <w:tcPr>
            <w:tcW w:type="dxa" w:w="9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R-02</w:t>
            </w:r>
          </w:p>
        </w:tc>
        <w:tc>
          <w:tcPr>
            <w:tcW w:type="dxa" w:w="3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Android background service can be killed by battery optimization, reducing uptime and PoR challenge response rate</w:t>
            </w:r>
          </w:p>
        </w:tc>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PARTIAL — wake lock documented; no architectural solution</w:t>
            </w:r>
          </w:p>
        </w:tc>
        <w:tc>
          <w:tcPr>
            <w:tcW w:type="dxa" w:w="24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Milestone 2 / Week 10</w:t>
            </w:r>
          </w:p>
        </w:tc>
      </w:tr>
      <w:tr>
        <w:tc>
          <w:tcPr>
            <w:tcW w:type="dxa" w:w="9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R-03</w:t>
            </w:r>
          </w:p>
        </w:tc>
        <w:tc>
          <w:tcPr>
            <w:tcW w:type="dxa" w:w="3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Version vector growth is unbounded without garbage collection for long-offline peers</w:t>
            </w:r>
          </w:p>
        </w:tc>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OPEN — GP-10 (P3) addresses this but not implemented in P2</w:t>
            </w:r>
          </w:p>
        </w:tc>
        <w:tc>
          <w:tcPr>
            <w:tcW w:type="dxa" w:w="24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Milestone 3 / Week 17</w:t>
            </w:r>
          </w:p>
        </w:tc>
      </w:tr>
      <w:tr>
        <w:tc>
          <w:tcPr>
            <w:tcW w:type="dxa" w:w="9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R-04</w:t>
            </w:r>
          </w:p>
        </w:tc>
        <w:tc>
          <w:tcPr>
            <w:tcW w:type="dxa" w:w="3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Hybrid mode (CR-05) allows downgrade to classical ECDH by a peer that has not upgraded — post-quantum protection lost for that session</w:t>
            </w:r>
          </w:p>
        </w:tc>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ACCEPTED — hybrid mode is transition mechanism; document minimum version for PQ-only enforcement</w:t>
            </w:r>
          </w:p>
        </w:tc>
        <w:tc>
          <w:tcPr>
            <w:tcW w:type="dxa" w:w="24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Milestone 2 / Week 5</w:t>
            </w:r>
          </w:p>
        </w:tc>
      </w:tr>
      <w:tr>
        <w:tc>
          <w:tcPr>
            <w:tcW w:type="dxa" w:w="9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R-05</w:t>
            </w:r>
          </w:p>
        </w:tc>
        <w:tc>
          <w:tcPr>
            <w:tcW w:type="dxa" w:w="3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Relay node operator knows which IP addresses are communicating even if not content — metadata exposure</w:t>
            </w:r>
          </w:p>
        </w:tc>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ACCEPTED — content-blind but not metadata-blind; document clearly for node operators</w:t>
            </w:r>
          </w:p>
        </w:tc>
        <w:tc>
          <w:tcPr>
            <w:tcW w:type="dxa" w:w="24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Pre-Milestone 2 documentation</w:t>
            </w:r>
          </w:p>
        </w:tc>
      </w:tr>
      <w:tr>
        <w:tc>
          <w:tcPr>
            <w:tcW w:type="dxa" w:w="9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R-06</w:t>
            </w:r>
          </w:p>
        </w:tc>
        <w:tc>
          <w:tcPr>
            <w:tcW w:type="dxa" w:w="38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No mechanism to force re-keying if a node's ML-DSA keypair is suspected compromised (ID-07 is P3)</w:t>
            </w:r>
          </w:p>
        </w:tc>
        <w:tc>
          <w:tcPr>
            <w:tcW w:type="dxa" w:w="220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OPEN — manual revocation via gossip blacklist is the only current path</w:t>
            </w:r>
          </w:p>
        </w:tc>
        <w:tc>
          <w:tcPr>
            <w:tcW w:type="dxa" w:w="2460"/>
            <w:tcBorders>
              <w:top w:val="single" w:color="D5D8DC" w:sz="1"/>
              <w:left w:val="single" w:color="D5D8DC" w:sz="1"/>
              <w:bottom w:val="single" w:color="D5D8DC" w:sz="1"/>
              <w:right w:val="single" w:color="D5D8DC" w:sz="1"/>
            </w:tcBorders>
            <w:shd w:fill="F2F4F6"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Milestone 3</w:t>
            </w:r>
          </w:p>
        </w:tc>
      </w:tr>
      <w:tr>
        <w:tc>
          <w:tcPr>
            <w:tcW w:type="dxa" w:w="9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R-07</w:t>
            </w:r>
          </w:p>
        </w:tc>
        <w:tc>
          <w:tcPr>
            <w:tcW w:type="dxa" w:w="38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Credit ledger not encrypted — credit history is visible to all peers by design, but operator contribution patterns could reveal behavioral data</w:t>
            </w:r>
          </w:p>
        </w:tc>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ACCEPTED — by design; document privacy implications for operators</w:t>
            </w:r>
          </w:p>
        </w:tc>
        <w:tc>
          <w:tcPr>
            <w:tcW w:type="dxa" w:w="24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Pre-Milestone 2 documentation</w:t>
            </w:r>
          </w:p>
        </w:tc>
      </w:tr>
    </w:tbl>
    <w:p>
      <w:pPr>
        <w:spacing w:before="60" w:after="60"/>
      </w:pPr>
      <w:r>
        <w:t xml:space="preserve"/>
      </w:r>
    </w:p>
    <w:p>
      <w:pPr>
        <w:pStyle w:val="Heading1"/>
        <w:pBdr>
          <w:bottom w:val="single" w:color="1A6B72" w:sz="6" w:space="6"/>
        </w:pBdr>
        <w:spacing w:before="360" w:after="160"/>
      </w:pPr>
      <w:r>
        <w:rPr>
          <w:rFonts w:ascii="Arial" w:cs="Arial" w:eastAsia="Arial" w:hAnsi="Arial"/>
          <w:b/>
          <w:bCs/>
          <w:color w:val="1B3A5C"/>
          <w:sz w:val="32"/>
          <w:szCs w:val="32"/>
        </w:rPr>
        <w:t xml:space="preserve">7. Security Testing Checklist</w:t>
      </w:r>
    </w:p>
    <w:p>
      <w:pPr>
        <w:spacing w:before="60" w:after="80"/>
      </w:pPr>
      <w:r>
        <w:rPr>
          <w:rFonts w:ascii="Arial" w:cs="Arial" w:eastAsia="Arial" w:hAnsi="Arial"/>
          <w:color w:val="1A1A1A"/>
          <w:sz w:val="20"/>
          <w:szCs w:val="20"/>
        </w:rPr>
        <w:t xml:space="preserve">The following tests must be executed at the end of each milestone to validate threat mitigations. Results must be recorded in BENCHMARKS.md.</w:t>
      </w:r>
    </w:p>
    <w:p>
      <w:pPr>
        <w:spacing w:before="60" w:after="60"/>
      </w:pPr>
      <w:r>
        <w:t xml:space="preserve"/>
      </w:r>
    </w:p>
    <w:p>
      <w:pPr>
        <w:pStyle w:val="Heading2"/>
        <w:spacing w:before="280" w:after="120"/>
      </w:pPr>
      <w:r>
        <w:rPr>
          <w:rFonts w:ascii="Arial" w:cs="Arial" w:eastAsia="Arial" w:hAnsi="Arial"/>
          <w:b/>
          <w:bCs/>
          <w:color w:val="1A6B72"/>
          <w:sz w:val="26"/>
          <w:szCs w:val="26"/>
        </w:rPr>
        <w:t xml:space="preserve">7.1 Milestone 1 Security Tests</w:t>
      </w:r>
    </w:p>
    <w:p>
      <w:pPr>
        <w:pStyle w:val="ListParagraph"/>
        <w:numPr>
          <w:ilvl w:val="0"/>
          <w:numId w:val="3"/>
        </w:numPr>
        <w:spacing w:before="40" w:after="40"/>
      </w:pPr>
      <w:r>
        <w:rPr>
          <w:rFonts w:ascii="Arial" w:cs="Arial" w:eastAsia="Arial" w:hAnsi="Arial"/>
          <w:color w:val="1A1A1A"/>
          <w:sz w:val="20"/>
          <w:szCs w:val="20"/>
        </w:rPr>
        <w:t xml:space="preserve">Verify encrypted shard storage: confirm no plaintext user data written to Pebble by inspecting raw key-value store after backup</w:t>
      </w:r>
    </w:p>
    <w:p>
      <w:pPr>
        <w:pStyle w:val="ListParagraph"/>
        <w:numPr>
          <w:ilvl w:val="0"/>
          <w:numId w:val="3"/>
        </w:numPr>
        <w:spacing w:before="40" w:after="40"/>
      </w:pPr>
      <w:r>
        <w:rPr>
          <w:rFonts w:ascii="Arial" w:cs="Arial" w:eastAsia="Arial" w:hAnsi="Arial"/>
          <w:color w:val="1A1A1A"/>
          <w:sz w:val="20"/>
          <w:szCs w:val="20"/>
        </w:rPr>
        <w:t xml:space="preserve">Verify passphrase protection: confirm identity file cannot be decoded without correct passphrase</w:t>
      </w:r>
    </w:p>
    <w:p>
      <w:pPr>
        <w:pStyle w:val="ListParagraph"/>
        <w:numPr>
          <w:ilvl w:val="0"/>
          <w:numId w:val="3"/>
        </w:numPr>
        <w:spacing w:before="40" w:after="40"/>
      </w:pPr>
      <w:r>
        <w:rPr>
          <w:rFonts w:ascii="Arial" w:cs="Arial" w:eastAsia="Arial" w:hAnsi="Arial"/>
          <w:color w:val="1A1A1A"/>
          <w:sz w:val="20"/>
          <w:szCs w:val="20"/>
        </w:rPr>
        <w:t xml:space="preserve">Verify shard reconstruction: corrupt one shard; confirm 2-of-3 reconstruction still succeeds</w:t>
      </w:r>
    </w:p>
    <w:p>
      <w:pPr>
        <w:pStyle w:val="ListParagraph"/>
        <w:numPr>
          <w:ilvl w:val="0"/>
          <w:numId w:val="3"/>
        </w:numPr>
        <w:spacing w:before="40" w:after="40"/>
      </w:pPr>
      <w:r>
        <w:rPr>
          <w:rFonts w:ascii="Arial" w:cs="Arial" w:eastAsia="Arial" w:hAnsi="Arial"/>
          <w:color w:val="1A1A1A"/>
          <w:sz w:val="20"/>
          <w:szCs w:val="20"/>
        </w:rPr>
        <w:t xml:space="preserve">Verify shard integrity: modify a stored shard byte; confirm hash mismatch detected on retrieval</w:t>
      </w:r>
    </w:p>
    <w:p>
      <w:pPr>
        <w:pStyle w:val="ListParagraph"/>
        <w:numPr>
          <w:ilvl w:val="0"/>
          <w:numId w:val="3"/>
        </w:numPr>
        <w:spacing w:before="40" w:after="40"/>
      </w:pPr>
      <w:r>
        <w:rPr>
          <w:rFonts w:ascii="Arial" w:cs="Arial" w:eastAsia="Arial" w:hAnsi="Arial"/>
          <w:color w:val="1A1A1A"/>
          <w:sz w:val="20"/>
          <w:szCs w:val="20"/>
        </w:rPr>
        <w:t xml:space="preserve">Confirm CGO_ENABLED=0 build passes on all four target platforms</w:t>
      </w:r>
    </w:p>
    <w:p>
      <w:pPr>
        <w:spacing w:before="60" w:after="60"/>
      </w:pPr>
      <w:r>
        <w:t xml:space="preserve"/>
      </w:r>
    </w:p>
    <w:p>
      <w:pPr>
        <w:pStyle w:val="Heading2"/>
        <w:spacing w:before="280" w:after="120"/>
      </w:pPr>
      <w:r>
        <w:rPr>
          <w:rFonts w:ascii="Arial" w:cs="Arial" w:eastAsia="Arial" w:hAnsi="Arial"/>
          <w:b/>
          <w:bCs/>
          <w:color w:val="1A6B72"/>
          <w:sz w:val="26"/>
          <w:szCs w:val="26"/>
        </w:rPr>
        <w:t xml:space="preserve">7.2 Milestone 2 Security Tests</w:t>
      </w:r>
    </w:p>
    <w:p>
      <w:pPr>
        <w:pStyle w:val="ListParagraph"/>
        <w:numPr>
          <w:ilvl w:val="0"/>
          <w:numId w:val="3"/>
        </w:numPr>
        <w:spacing w:before="40" w:after="40"/>
      </w:pPr>
      <w:r>
        <w:rPr>
          <w:rFonts w:ascii="Arial" w:cs="Arial" w:eastAsia="Arial" w:hAnsi="Arial"/>
          <w:color w:val="1A1A1A"/>
          <w:sz w:val="20"/>
          <w:szCs w:val="20"/>
        </w:rPr>
        <w:t xml:space="preserve">Verify mTLS rejection: attempt connection from a node with a self-signed cert not in the trust chain; confirm rejection</w:t>
      </w:r>
    </w:p>
    <w:p>
      <w:pPr>
        <w:pStyle w:val="ListParagraph"/>
        <w:numPr>
          <w:ilvl w:val="0"/>
          <w:numId w:val="3"/>
        </w:numPr>
        <w:spacing w:before="40" w:after="40"/>
      </w:pPr>
      <w:r>
        <w:rPr>
          <w:rFonts w:ascii="Arial" w:cs="Arial" w:eastAsia="Arial" w:hAnsi="Arial"/>
          <w:color w:val="1A1A1A"/>
          <w:sz w:val="20"/>
          <w:szCs w:val="20"/>
        </w:rPr>
        <w:t xml:space="preserve">Verify gossip signature enforcement: submit a gossip message with an invalid ML-DSA signature; confirm it is dropped</w:t>
      </w:r>
    </w:p>
    <w:p>
      <w:pPr>
        <w:pStyle w:val="ListParagraph"/>
        <w:numPr>
          <w:ilvl w:val="0"/>
          <w:numId w:val="3"/>
        </w:numPr>
        <w:spacing w:before="40" w:after="40"/>
      </w:pPr>
      <w:r>
        <w:rPr>
          <w:rFonts w:ascii="Arial" w:cs="Arial" w:eastAsia="Arial" w:hAnsi="Arial"/>
          <w:color w:val="1A1A1A"/>
          <w:sz w:val="20"/>
          <w:szCs w:val="20"/>
        </w:rPr>
        <w:t xml:space="preserve">Verify invite token single-use: attempt to use an invite token twice; confirm second use fails</w:t>
      </w:r>
    </w:p>
    <w:p>
      <w:pPr>
        <w:pStyle w:val="ListParagraph"/>
        <w:numPr>
          <w:ilvl w:val="0"/>
          <w:numId w:val="3"/>
        </w:numPr>
        <w:spacing w:before="40" w:after="40"/>
      </w:pPr>
      <w:r>
        <w:rPr>
          <w:rFonts w:ascii="Arial" w:cs="Arial" w:eastAsia="Arial" w:hAnsi="Arial"/>
          <w:color w:val="1A1A1A"/>
          <w:sz w:val="20"/>
          <w:szCs w:val="20"/>
        </w:rPr>
        <w:t xml:space="preserve">Verify relay E2EE: capture traffic on relay node; confirm only ciphertext is visible</w:t>
      </w:r>
    </w:p>
    <w:p>
      <w:pPr>
        <w:pStyle w:val="ListParagraph"/>
        <w:numPr>
          <w:ilvl w:val="0"/>
          <w:numId w:val="3"/>
        </w:numPr>
        <w:spacing w:before="40" w:after="40"/>
      </w:pPr>
      <w:r>
        <w:rPr>
          <w:rFonts w:ascii="Arial" w:cs="Arial" w:eastAsia="Arial" w:hAnsi="Arial"/>
          <w:color w:val="1A1A1A"/>
          <w:sz w:val="20"/>
          <w:szCs w:val="20"/>
        </w:rPr>
        <w:t xml:space="preserve">Verify gossip rate limiting: send 200 messages/second from one peer; confirm ban triggers at threshold</w:t>
      </w:r>
    </w:p>
    <w:p>
      <w:pPr>
        <w:pStyle w:val="ListParagraph"/>
        <w:numPr>
          <w:ilvl w:val="0"/>
          <w:numId w:val="3"/>
        </w:numPr>
        <w:spacing w:before="40" w:after="40"/>
      </w:pPr>
      <w:r>
        <w:rPr>
          <w:rFonts w:ascii="Arial" w:cs="Arial" w:eastAsia="Arial" w:hAnsi="Arial"/>
          <w:color w:val="1A1A1A"/>
          <w:sz w:val="20"/>
          <w:szCs w:val="20"/>
        </w:rPr>
        <w:t xml:space="preserve">Verify bootstrap resilience: take one of two bootstrap nodes offline; confirm network remains operable</w:t>
      </w:r>
    </w:p>
    <w:p>
      <w:pPr>
        <w:spacing w:before="60" w:after="60"/>
      </w:pPr>
      <w:r>
        <w:t xml:space="preserve"/>
      </w:r>
    </w:p>
    <w:p>
      <w:pPr>
        <w:pStyle w:val="Heading2"/>
        <w:spacing w:before="280" w:after="120"/>
      </w:pPr>
      <w:r>
        <w:rPr>
          <w:rFonts w:ascii="Arial" w:cs="Arial" w:eastAsia="Arial" w:hAnsi="Arial"/>
          <w:b/>
          <w:bCs/>
          <w:color w:val="1A6B72"/>
          <w:sz w:val="26"/>
          <w:szCs w:val="26"/>
        </w:rPr>
        <w:t xml:space="preserve">7.3 Milestone 3 Security Tests</w:t>
      </w:r>
    </w:p>
    <w:p>
      <w:pPr>
        <w:pStyle w:val="ListParagraph"/>
        <w:numPr>
          <w:ilvl w:val="0"/>
          <w:numId w:val="3"/>
        </w:numPr>
        <w:spacing w:before="40" w:after="40"/>
      </w:pPr>
      <w:r>
        <w:rPr>
          <w:rFonts w:ascii="Arial" w:cs="Arial" w:eastAsia="Arial" w:hAnsi="Arial"/>
          <w:color w:val="1A1A1A"/>
          <w:sz w:val="20"/>
          <w:szCs w:val="20"/>
        </w:rPr>
        <w:t xml:space="preserve">Verify PoR fake storage detection: delete a shard without notifying the network; confirm PoR challenges detect it within the 6-hour window</w:t>
      </w:r>
    </w:p>
    <w:p>
      <w:pPr>
        <w:pStyle w:val="ListParagraph"/>
        <w:numPr>
          <w:ilvl w:val="0"/>
          <w:numId w:val="3"/>
        </w:numPr>
        <w:spacing w:before="40" w:after="40"/>
      </w:pPr>
      <w:r>
        <w:rPr>
          <w:rFonts w:ascii="Arial" w:cs="Arial" w:eastAsia="Arial" w:hAnsi="Arial"/>
          <w:color w:val="1A1A1A"/>
          <w:sz w:val="20"/>
          <w:szCs w:val="20"/>
        </w:rPr>
        <w:t xml:space="preserve">Verify Sybil resistance: attempt to join 20 fake nodes from one machine; confirm resource challenges block the majority</w:t>
      </w:r>
    </w:p>
    <w:p>
      <w:pPr>
        <w:pStyle w:val="ListParagraph"/>
        <w:numPr>
          <w:ilvl w:val="0"/>
          <w:numId w:val="3"/>
        </w:numPr>
        <w:spacing w:before="40" w:after="40"/>
      </w:pPr>
      <w:r>
        <w:rPr>
          <w:rFonts w:ascii="Arial" w:cs="Arial" w:eastAsia="Arial" w:hAnsi="Arial"/>
          <w:color w:val="1A1A1A"/>
          <w:sz w:val="20"/>
          <w:szCs w:val="20"/>
        </w:rPr>
        <w:t xml:space="preserve">Verify reputation quarantine: manually reduce a node's reputation below 0.6; confirm no new shards are placed on it</w:t>
      </w:r>
    </w:p>
    <w:p>
      <w:pPr>
        <w:pStyle w:val="ListParagraph"/>
        <w:numPr>
          <w:ilvl w:val="0"/>
          <w:numId w:val="3"/>
        </w:numPr>
        <w:spacing w:before="40" w:after="40"/>
      </w:pPr>
      <w:r>
        <w:rPr>
          <w:rFonts w:ascii="Arial" w:cs="Arial" w:eastAsia="Arial" w:hAnsi="Arial"/>
          <w:color w:val="1A1A1A"/>
          <w:sz w:val="20"/>
          <w:szCs w:val="20"/>
        </w:rPr>
        <w:t xml:space="preserve">Verify Byzantine consensus tolerance: bring f Byzantine nodes into a quorum; confirm valid decisions still reached</w:t>
      </w:r>
    </w:p>
    <w:p>
      <w:pPr>
        <w:pStyle w:val="ListParagraph"/>
        <w:numPr>
          <w:ilvl w:val="0"/>
          <w:numId w:val="3"/>
        </w:numPr>
        <w:spacing w:before="40" w:after="40"/>
      </w:pPr>
      <w:r>
        <w:rPr>
          <w:rFonts w:ascii="Arial" w:cs="Arial" w:eastAsia="Arial" w:hAnsi="Arial"/>
          <w:color w:val="1A1A1A"/>
          <w:sz w:val="20"/>
          <w:szCs w:val="20"/>
        </w:rPr>
        <w:t xml:space="preserve">Verify ZK-PoR soundness: attempt to submit a forged zk-SNARK proof; confirm verifier rejects it</w:t>
      </w:r>
    </w:p>
    <w:p>
      <w:pPr>
        <w:pStyle w:val="ListParagraph"/>
        <w:numPr>
          <w:ilvl w:val="0"/>
          <w:numId w:val="3"/>
        </w:numPr>
        <w:spacing w:before="40" w:after="40"/>
      </w:pPr>
      <w:r>
        <w:rPr>
          <w:rFonts w:ascii="Arial" w:cs="Arial" w:eastAsia="Arial" w:hAnsi="Arial"/>
          <w:color w:val="1A1A1A"/>
          <w:sz w:val="20"/>
          <w:szCs w:val="20"/>
        </w:rPr>
        <w:t xml:space="preserve">Verify erasure coding resilience: take 4 nodes offline simultaneously; confirm 5-of-9 file retrieval succeeds</w:t>
      </w:r>
    </w:p>
    <w:p>
      <w:pPr>
        <w:spacing w:before="60" w:after="60"/>
      </w:pPr>
      <w:r>
        <w:t xml:space="preserve"/>
      </w:r>
    </w:p>
    <w:p>
      <w:pPr>
        <w:pStyle w:val="Heading1"/>
        <w:pBdr>
          <w:bottom w:val="single" w:color="1A6B72" w:sz="6" w:space="6"/>
        </w:pBdr>
        <w:spacing w:before="360" w:after="160"/>
      </w:pPr>
      <w:r>
        <w:rPr>
          <w:rFonts w:ascii="Arial" w:cs="Arial" w:eastAsia="Arial" w:hAnsi="Arial"/>
          <w:b/>
          <w:bCs/>
          <w:color w:val="1B3A5C"/>
          <w:sz w:val="32"/>
          <w:szCs w:val="32"/>
        </w:rPr>
        <w:t xml:space="preserve">8. Revision History</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2200"/>
        <w:gridCol w:w="4560"/>
      </w:tblGrid>
      <w:tr>
        <w:trPr>
          <w:tblHeader/>
        </w:trPr>
        <w:tc>
          <w:tcPr>
            <w:tcW w:type="dxa" w:w="12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Version</w:t>
            </w:r>
          </w:p>
        </w:tc>
        <w:tc>
          <w:tcPr>
            <w:tcW w:type="dxa" w:w="14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Date</w:t>
            </w:r>
          </w:p>
        </w:tc>
        <w:tc>
          <w:tcPr>
            <w:tcW w:type="dxa" w:w="220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Author</w:t>
            </w:r>
          </w:p>
        </w:tc>
        <w:tc>
          <w:tcPr>
            <w:tcW w:type="dxa" w:w="4560"/>
            <w:tcBorders>
              <w:top w:val="single" w:color="D5D8DC" w:sz="1"/>
              <w:left w:val="single" w:color="D5D8DC" w:sz="1"/>
              <w:bottom w:val="single" w:color="D5D8DC" w:sz="1"/>
              <w:right w:val="single" w:color="D5D8DC" w:sz="1"/>
            </w:tcBorders>
            <w:shd w:fill="1B3A5C" w:val="clear"/>
            <w:tcMar>
              <w:top w:type="dxa" w:w="100"/>
              <w:left w:type="dxa" w:w="140"/>
              <w:bottom w:type="dxa" w:w="100"/>
              <w:right w:type="dxa" w:w="140"/>
            </w:tcMar>
          </w:tcPr>
          <w:p>
            <w:pPr>
              <w:spacing w:before="0" w:after="0"/>
            </w:pPr>
            <w:r>
              <w:rPr>
                <w:rFonts w:ascii="Arial" w:cs="Arial" w:eastAsia="Arial" w:hAnsi="Arial"/>
                <w:b/>
                <w:bCs/>
                <w:color w:val="FFFFFF"/>
                <w:sz w:val="18"/>
                <w:szCs w:val="18"/>
              </w:rPr>
              <w:t xml:space="preserve">Summary</w:t>
            </w:r>
          </w:p>
        </w:tc>
      </w:tr>
      <w:tr>
        <w:tc>
          <w:tcPr>
            <w:tcW w:type="dxa" w:w="1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1.0</w:t>
            </w:r>
          </w:p>
        </w:tc>
        <w:tc>
          <w:tcPr>
            <w:tcW w:type="dxa" w:w="14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2026-03</w:t>
            </w:r>
          </w:p>
        </w:tc>
        <w:tc>
          <w:tcPr>
            <w:tcW w:type="dxa" w:w="220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SafeGrowth Team</w:t>
            </w:r>
          </w:p>
        </w:tc>
        <w:tc>
          <w:tcPr>
            <w:tcW w:type="dxa" w:w="4560"/>
            <w:tcBorders>
              <w:top w:val="single" w:color="D5D8DC" w:sz="1"/>
              <w:left w:val="single" w:color="D5D8DC" w:sz="1"/>
              <w:bottom w:val="single" w:color="D5D8DC" w:sz="1"/>
              <w:right w:val="single" w:color="D5D8DC" w:sz="1"/>
            </w:tcBorders>
            <w:shd w:fill="FFFFFF" w:val="clear"/>
            <w:tcMar>
              <w:top w:type="dxa" w:w="80"/>
              <w:left w:type="dxa" w:w="140"/>
              <w:bottom w:type="dxa" w:w="80"/>
              <w:right w:type="dxa" w:w="140"/>
            </w:tcMar>
          </w:tcPr>
          <w:p>
            <w:pPr>
              <w:spacing w:before="0" w:after="0"/>
            </w:pPr>
            <w:r>
              <w:rPr>
                <w:rFonts w:ascii="Arial" w:cs="Arial" w:eastAsia="Arial" w:hAnsi="Arial"/>
                <w:color w:val="1A1A1A"/>
                <w:sz w:val="18"/>
                <w:szCs w:val="18"/>
              </w:rPr>
              <w:t xml:space="preserve">Initial threat model — covers all three phases; aligned with SRD v1.1 and Whitepaper v2.1</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color="FFFFFF" w:sz="0"/>
              <w:left w:val="nil" w:color="FFFFFF" w:sz="0"/>
              <w:bottom w:val="nil" w:color="FFFFFF" w:sz="0"/>
              <w:right w:val="nil" w:color="FFFFFF" w:sz="0"/>
            </w:tcBorders>
            <w:shd w:fill="EAF2F8" w:val="clear"/>
            <w:tcMar>
              <w:top w:type="dxa" w:w="120"/>
              <w:left w:type="dxa" w:w="200"/>
              <w:bottom w:type="dxa" w:w="120"/>
              <w:right w:type="dxa" w:w="200"/>
            </w:tcMar>
          </w:tcPr>
          <w:p>
            <w:pPr>
              <w:spacing w:before="0" w:after="0"/>
            </w:pPr>
            <w:r>
              <w:rPr>
                <w:rFonts w:ascii="Arial" w:cs="Arial" w:eastAsia="Arial" w:hAnsi="Arial"/>
                <w:b/>
                <w:bCs/>
                <w:color w:val="1B3A5C"/>
                <w:sz w:val="20"/>
                <w:szCs w:val="20"/>
              </w:rPr>
              <w:t xml:space="preserve">📋 NEXT REVIEW  </w:t>
            </w:r>
            <w:r>
              <w:rPr>
                <w:rFonts w:ascii="Arial" w:cs="Arial" w:eastAsia="Arial" w:hAnsi="Arial"/>
                <w:color w:val="1A1A1A"/>
                <w:sz w:val="20"/>
                <w:szCs w:val="20"/>
              </w:rPr>
              <w:t xml:space="preserve">This document must be reviewed and updated before Milestone 2 (Week 5) when the first external peer joins the network, and again before Milestone 3 (Week 11) when open participation begins.</w:t>
            </w:r>
          </w:p>
        </w:tc>
      </w:tr>
    </w:tbl>
    <w:p>
      <w:pPr>
        <w:spacing w:before="60" w:after="60"/>
      </w:pPr>
      <w:r>
        <w:t xml:space="preserve"/>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6B72" w:sz="4" w:space="6"/>
      </w:pBdr>
      <w:jc w:val="center"/>
    </w:pPr>
    <w:r>
      <w:rPr>
        <w:rFonts w:ascii="Arial" w:cs="Arial" w:eastAsia="Arial" w:hAnsi="Arial"/>
        <w:color w:val="808B96"/>
        <w:sz w:val="16"/>
        <w:szCs w:val="16"/>
      </w:rPr>
      <w:t xml:space="preserve">SafeGrowth Vault — THREAT MODEL v1.0    |    Internal Use Only    |    Page </w:t>
    </w:r>
    <w:r>
      <w:rPr>
        <w:rFonts w:ascii="Arial" w:cs="Arial" w:eastAsia="Arial" w:hAnsi="Arial"/>
        <w:color w:val="808B96"/>
        <w:sz w:val="16"/>
        <w:szCs w:val="16"/>
      </w:rPr>
      <w:fldChar w:fldCharType="begin"/>
      <w:instrText xml:space="preserve">PAGE</w:instrText>
      <w:fldChar w:fldCharType="separate"/>
      <w:fldChar w:fldCharType="end"/>
    </w:r>
    <w:r>
      <w:rPr>
        <w:rFonts w:ascii="Arial" w:cs="Arial" w:eastAsia="Arial" w:hAnsi="Arial"/>
        <w:color w:val="808B96"/>
        <w:sz w:val="16"/>
        <w:szCs w:val="16"/>
      </w:rPr>
      <w:t xml:space="preserve"> of </w:t>
    </w:r>
    <w:r>
      <w:rPr>
        <w:rFonts w:ascii="Arial" w:cs="Arial" w:eastAsia="Arial" w:hAnsi="Arial"/>
        <w:color w:val="808B9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B3A5C"/>
      <w:sz w:val="32"/>
      <w:szCs w:val="32"/>
    </w:rPr>
  </w:style>
  <w:style w:type="paragraph" w:styleId="Heading2">
    <w:name w:val="Heading 2"/>
    <w:basedOn w:val="Normal"/>
    <w:next w:val="Normal"/>
    <w:qFormat/>
    <w:pPr>
      <w:spacing w:before="280" w:after="120"/>
      <w:outlineLvl w:val="1"/>
    </w:pPr>
    <w:rPr>
      <w:rFonts w:ascii="Arial" w:cs="Arial" w:eastAsia="Arial" w:hAnsi="Arial"/>
      <w:b/>
      <w:bCs/>
      <w:color w:val="1A6B72"/>
      <w:sz w:val="26"/>
      <w:szCs w:val="26"/>
    </w:rPr>
  </w:style>
  <w:style w:type="paragraph" w:styleId="Heading3">
    <w:name w:val="Heading 3"/>
    <w:basedOn w:val="Normal"/>
    <w:next w:val="Normal"/>
    <w:qFormat/>
    <w:pPr>
      <w:spacing w:before="200" w:after="80"/>
      <w:outlineLvl w:val="2"/>
    </w:pPr>
    <w:rPr>
      <w:rFonts w:ascii="Arial" w:cs="Arial" w:eastAsia="Arial" w:hAnsi="Arial"/>
      <w:b/>
      <w:bCs/>
      <w:color w:val="1B3A5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2026-03-18T23:50:49.176Z</dcterms:created>
  <dcterms:modified xsi:type="dcterms:W3CDTF">2026-03-18T23:50:49.177Z</dcterms:modified>
</cp:coreProperties>
</file>

<file path=docProps/custom.xml><?xml version="1.0" encoding="utf-8"?>
<Properties xmlns="http://schemas.openxmlformats.org/officeDocument/2006/custom-properties" xmlns:vt="http://schemas.openxmlformats.org/officeDocument/2006/docPropsVTypes"/>
</file>