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F3864"/>
          <w:sz w:val="56"/>
          <w:szCs w:val="56"/>
        </w:rPr>
        <w:t xml:space="preserve">SafeGrowth Vault</w:t>
      </w:r>
    </w:p>
    <w:p>
      <w:pPr>
        <w:spacing w:before="0" w:after="60"/>
      </w:pPr>
      <w:r>
        <w:rPr>
          <w:rFonts w:ascii="Arial" w:cs="Arial" w:eastAsia="Arial" w:hAnsi="Arial"/>
          <w:b/>
          <w:bCs/>
          <w:color w:val="2E5F8A"/>
          <w:sz w:val="40"/>
          <w:szCs w:val="40"/>
        </w:rPr>
        <w:t xml:space="preserve">Architecture Decision Records</w:t>
      </w:r>
    </w:p>
    <w:p>
      <w:pPr>
        <w:pBdr>
          <w:bottom w:val="single" w:color="2E5F8A" w:sz="12" w:space="1"/>
        </w:pBdr>
        <w:spacing w:before="0" w:after="24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March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Authors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SafeGrowth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Active — all ADRs 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(ADR-001 through ADR-010)</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How to Use This Document</w:t>
      </w:r>
    </w:p>
    <w:p>
      <w:pPr>
        <w:pBdr>
          <w:bottom w:val="single" w:color="2E5F8A" w:sz="6" w:space="1"/>
        </w:pBdr>
        <w:spacing w:before="80" w:after="80"/>
      </w:pPr>
    </w:p>
    <w:p>
      <w:pPr>
        <w:spacing w:before="60" w:after="60"/>
      </w:pPr>
      <w:r>
        <w:rPr>
          <w:rFonts w:ascii="Arial" w:cs="Arial" w:eastAsia="Arial" w:hAnsi="Arial"/>
          <w:color w:val="000000"/>
          <w:sz w:val="22"/>
          <w:szCs w:val="22"/>
        </w:rPr>
        <w:t xml:space="preserve">Each Architecture Decision Record (ADR) documents one significant architectural decision: the context that motivated it, the decision made, its consequences, and the alternatives that were rejected. ADRs are the institutional memory of why the system is built the way it is.</w:t>
      </w:r>
    </w:p>
    <w:p>
      <w:pPr>
        <w:spacing w:before="40" w:after="40"/>
      </w:pPr>
    </w:p>
    <w:p>
      <w:pPr>
        <w:spacing w:before="60" w:after="60"/>
      </w:pPr>
      <w:r>
        <w:rPr>
          <w:rFonts w:ascii="Arial" w:cs="Arial" w:eastAsia="Arial" w:hAnsi="Arial"/>
          <w:color w:val="000000"/>
          <w:sz w:val="22"/>
          <w:szCs w:val="22"/>
        </w:rPr>
        <w:t xml:space="preserve">When a new feature is designed or an existing component is changed, the relevant ADR(s) must be consulted first. If a decision would contradict an existing ADR, a new ADR must be written documenting the reversal before the change is implemented.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Decision is in force. Implementation must comply.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Proposed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Under discussion. Not yet binding.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Superseded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Replaced by a newer ADR. The newer ADR references this one.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Deprecated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Decision is no longer relevant (e.g., the component was removed).</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 Index</w:t>
      </w:r>
    </w:p>
    <w:p>
      <w:pPr>
        <w:pBdr>
          <w:bottom w:val="single" w:color="2E5F8A" w:sz="6"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000"/>
        <w:gridCol w:w="2560"/>
        <w:gridCol w:w="14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Driver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Zero CGO Constraint on Node Daemon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Cross-platform builds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Pebble over RocksDB for Local Storage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 (zero CGO)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ML-KEM via Go Standard Library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ADR-001 + PQ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ML-DSA via trailofbits/ml-dsa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 + PQ security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gnark over bellman/arkworks for ZK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ADR-001 + ZK-PoR need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Hybrid Classical / PQ Crypto Mode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Migration compatibility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Erasure Coding Scheme Progression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Network size constraints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phases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PBFT-lite Quorum Consensus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Byzantine fault tolerance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Central Servers in Critical Path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Decentralization constraint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ADR-010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Credit System Without Cryptocurrency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 crypto constraint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w:t>
            </w:r>
          </w:p>
        </w:tc>
      </w:tr>
    </w:tbl>
    <w:p>
      <w:pPr>
        <w:spacing w:before="60" w:after="60"/>
      </w:pP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00"/>
      </w:pPr>
      <w:r>
        <w:rPr>
          <w:rFonts w:ascii="Arial" w:cs="Arial" w:eastAsia="Arial" w:hAnsi="Arial"/>
          <w:b/>
          <w:bCs/>
          <w:color w:val="1F3864"/>
          <w:sz w:val="32"/>
          <w:szCs w:val="32"/>
        </w:rPr>
        <w:t xml:space="preserve">ADR-001 — Zero CGO Constraint on Node Daemon</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NF-14, NF-15, NF-16, CR-07, ST-01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ADR-002, ADR-003, ADR-004, ADR-005</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SafeGrowth Vault must cross-compile to Linux (amd64/arm64), Windows (amd64), and Android arm64 from a single go build invocation with no C toolchain on any build or deployment machine. Initial dependency selections (gorocksdb, liboqs-go, bellman via FFI) required CGO. The CI pipeline failed during early development when cross-compiling for Linux arm64 because no aarch64 GCC cross-compiler was installed. This was the triggering incident.</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All node daemon dependencies must compile with CGO_ENABLED=0. No C toolchain is required on any build or deployment platform. This is a hard constraint, not a preference. CI enforces this by intentionally not installing any C toolchain — any PR that introduces a CGO dependency fails CI at the build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00"/>
              <w:left w:type="dxa" w:w="160"/>
              <w:bottom w:type="dxa" w:w="100"/>
              <w:right w:type="dxa" w:w="160"/>
            </w:tcMar>
          </w:tcPr>
          <w:p>
            <w:pPr>
              <w:spacing w:before="20" w:after="20"/>
            </w:pPr>
            <w:r>
              <w:rPr>
                <w:rFonts w:ascii="Courier New" w:cs="Courier New" w:eastAsia="Courier New" w:hAnsi="Courier New"/>
                <w:color w:val="1F3864"/>
                <w:sz w:val="18"/>
                <w:szCs w:val="18"/>
              </w:rPr>
              <w:t xml:space="preserve"># These four commands must all pass on every PR:</w:t>
            </w:r>
          </w:p>
          <w:p>
            <w:pPr>
              <w:spacing w:before="20" w:after="20"/>
            </w:pPr>
            <w:r>
              <w:rPr>
                <w:rFonts w:ascii="Courier New" w:cs="Courier New" w:eastAsia="Courier New" w:hAnsi="Courier New"/>
                <w:color w:val="1F3864"/>
                <w:sz w:val="18"/>
                <w:szCs w:val="18"/>
              </w:rPr>
              <w:t xml:space="preserve">CGO_ENABLED=0 GOOS=linux   GOARCH=amd64 go build ./node/cmd</w:t>
            </w:r>
          </w:p>
          <w:p>
            <w:pPr>
              <w:spacing w:before="20" w:after="20"/>
            </w:pPr>
            <w:r>
              <w:rPr>
                <w:rFonts w:ascii="Courier New" w:cs="Courier New" w:eastAsia="Courier New" w:hAnsi="Courier New"/>
                <w:color w:val="1F3864"/>
                <w:sz w:val="18"/>
                <w:szCs w:val="18"/>
              </w:rPr>
              <w:t xml:space="preserve">CGO_ENABLED=0 GOOS=windows GOARCH=amd64 go build ./node/cmd</w:t>
            </w:r>
          </w:p>
          <w:p>
            <w:pPr>
              <w:spacing w:before="20" w:after="20"/>
            </w:pPr>
            <w:r>
              <w:rPr>
                <w:rFonts w:ascii="Courier New" w:cs="Courier New" w:eastAsia="Courier New" w:hAnsi="Courier New"/>
                <w:color w:val="1F3864"/>
                <w:sz w:val="18"/>
                <w:szCs w:val="18"/>
              </w:rPr>
              <w:t xml:space="preserve">CGO_ENABLED=0 GOOS=linux   GOARCH=arm64 go build ./node/cmd</w:t>
            </w:r>
          </w:p>
          <w:p>
            <w:pPr>
              <w:spacing w:before="20" w:after="20"/>
            </w:pPr>
            <w:r>
              <w:rPr>
                <w:rFonts w:ascii="Courier New" w:cs="Courier New" w:eastAsia="Courier New" w:hAnsi="Courier New"/>
                <w:color w:val="1F3864"/>
                <w:sz w:val="18"/>
                <w:szCs w:val="18"/>
              </w:rPr>
              <w:t xml:space="preserve">CGO_ENABLED=0 GOOS=android GOARCH=arm64 go build ./node/cmd</w:t>
            </w:r>
          </w:p>
        </w:tc>
      </w:tr>
    </w:tbl>
    <w:p>
      <w:pPr>
        <w:spacing w:before="60" w:after="60"/>
      </w:pPr>
    </w:p>
    <w:p>
      <w:pPr>
        <w:pStyle w:val="Heading2"/>
        <w:spacing w:before="240" w:after="80"/>
      </w:pPr>
      <w:r>
        <w:rPr>
          <w:rFonts w:ascii="Arial" w:cs="Arial" w:eastAsia="Arial" w:hAnsi="Arial"/>
          <w:b/>
          <w:bCs/>
          <w:color w:val="2E5F8A"/>
          <w:sz w:val="26"/>
          <w:szCs w:val="26"/>
        </w:rPr>
        <w:t xml:space="preserve">Consequences</w:t>
      </w:r>
    </w:p>
    <w:p>
      <w:pPr>
        <w:spacing w:before="60" w:after="60"/>
      </w:pPr>
      <w:r>
        <w:rPr>
          <w:rFonts w:ascii="Arial" w:cs="Arial" w:eastAsia="Arial" w:hAnsi="Arial"/>
          <w:color w:val="000000"/>
          <w:sz w:val="22"/>
          <w:szCs w:val="22"/>
        </w:rPr>
        <w:t xml:space="preserve">Positive: single build command for all targets; no toolchain complexity; fully auditable Go dependency tree; clean Android/Termux deployment.</w:t>
      </w:r>
    </w:p>
    <w:p>
      <w:pPr>
        <w:spacing w:before="60" w:after="60"/>
      </w:pPr>
      <w:r>
        <w:rPr>
          <w:rFonts w:ascii="Arial" w:cs="Arial" w:eastAsia="Arial" w:hAnsi="Arial"/>
          <w:color w:val="000000"/>
          <w:sz w:val="22"/>
          <w:szCs w:val="22"/>
        </w:rPr>
        <w:t xml:space="preserve">Negative: restricts library choices — pure-Go alternatives must be found for all dependencies (see ADR-002 through ADR-005).</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Allow CGO, manage cross-compilation toolchains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Operational complexity exceeds benefit; brittle cross-platform builds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Use Docker for cross-compilation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NF-16 prohibits Docker dependency; adds complexity to all developer machines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Compile per-platform only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Breaks the goal of any team member building a full release from any machine</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ADR-002 — Pebble over RocksDB for Local Storage</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ST-01, ST-06, NF-09, NF-15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The node daemon requires an embedded key-value store for shard storage, the shard manifest, and the credit ledger. The initial design specified RocksDB via gorocksdb. RocksDB requires CGO (violates ADR-001) and its memory footprint on constrained hardware (Raspberry Pi 3B: 1GB RAM) is a documented concern.</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Use github.com/cockroachdb/pebble as the embedded key-value store. Pebble is CockroachDB's pure-Go RocksDB replacement — zero CGO, WAL-backed for crash safety, lower memory footprint, actively maintained for production use. The three data namespaces (shards/, manifest/, credits/) are separated by key prefixes within a single Pebble instance.</w:t>
      </w:r>
    </w:p>
    <w:p>
      <w:pPr>
        <w:spacing w:before="60" w:after="60"/>
      </w:pPr>
    </w:p>
    <w:p>
      <w:pPr>
        <w:pStyle w:val="Heading2"/>
        <w:spacing w:before="240" w:after="80"/>
      </w:pPr>
      <w:r>
        <w:rPr>
          <w:rFonts w:ascii="Arial" w:cs="Arial" w:eastAsia="Arial" w:hAnsi="Arial"/>
          <w:b/>
          <w:bCs/>
          <w:color w:val="2E5F8A"/>
          <w:sz w:val="26"/>
          <w:szCs w:val="26"/>
        </w:rPr>
        <w:t xml:space="preserve">Consequences</w:t>
      </w:r>
    </w:p>
    <w:p>
      <w:pPr>
        <w:spacing w:before="60" w:after="60"/>
      </w:pPr>
      <w:r>
        <w:rPr>
          <w:rFonts w:ascii="Arial" w:cs="Arial" w:eastAsia="Arial" w:hAnsi="Arial"/>
          <w:color w:val="000000"/>
          <w:sz w:val="22"/>
          <w:szCs w:val="22"/>
        </w:rPr>
        <w:t xml:space="preserve">Positive: satisfies ADR-001; WAL satisfies NF-09 (crash recovery); lower memory footprint suits Pi 3B (NF-15); single instance for all three namespaces reduces file handle usage.</w:t>
      </w:r>
    </w:p>
    <w:p>
      <w:pPr>
        <w:spacing w:before="60" w:after="60"/>
      </w:pPr>
      <w:r>
        <w:rPr>
          <w:rFonts w:ascii="Arial" w:cs="Arial" w:eastAsia="Arial" w:hAnsi="Arial"/>
          <w:color w:val="000000"/>
          <w:sz w:val="22"/>
          <w:szCs w:val="22"/>
        </w:rPr>
        <w:t xml:space="preserve">Negative: less widely deployed than RocksDB outside of CockroachDB; RocksDB tuning guides don't transfer directly; very large shard stores (&gt;1TB) behaviour less documented.</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RocksDB / gorocksdb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CGO dependency violates ADR-001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bbolt (BoltDB)</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B-tree performs poorly for write-heavy shard workloads; full mmap problematic on constrained devices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modernc/sqlite (CGO-free)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SQL semantics unnecessary complexity for key-value workload; transpiled C-to-Go less auditable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Custom flat-file storage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Implementing crash-safe atomic writes and compaction is significant engineering risk</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ADR-003 — ML-KEM via Go Standard Library (crypto/mlkem)</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CR-02, CR-07, ID-02, PR-01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 ADR-004, ADR-006</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ML-KEM (NIST FIPS 203, standardized August 2024) is required for key encapsulation and PoR challenge seed establishment. The initial design referenced liboqs-go, a CGO binding violating ADR-001. Go 1.24 (released February 2025) added crypto/mlkem as a standard library package — pure Go, constant-time, authored and reviewed by the Go security team.</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Use crypto/mlkem from the Go standard library (Go &gt;= 1.24) with the ML-KEM-768 parameter set. This establishes Go 1.24 as the project minimum Go version — already documented in SRD v1.1.</w:t>
      </w:r>
    </w:p>
    <w:p>
      <w:pPr>
        <w:spacing w:before="60" w:after="60"/>
      </w:pPr>
    </w:p>
    <w:p>
      <w:pPr>
        <w:pStyle w:val="Heading2"/>
        <w:spacing w:before="240" w:after="80"/>
      </w:pPr>
      <w:r>
        <w:rPr>
          <w:rFonts w:ascii="Arial" w:cs="Arial" w:eastAsia="Arial" w:hAnsi="Arial"/>
          <w:b/>
          <w:bCs/>
          <w:color w:val="2E5F8A"/>
          <w:sz w:val="26"/>
          <w:szCs w:val="26"/>
        </w:rPr>
        <w:t xml:space="preserve">Consequences</w:t>
      </w:r>
    </w:p>
    <w:p>
      <w:pPr>
        <w:spacing w:before="60" w:after="60"/>
      </w:pPr>
      <w:r>
        <w:rPr>
          <w:rFonts w:ascii="Arial" w:cs="Arial" w:eastAsia="Arial" w:hAnsi="Arial"/>
          <w:color w:val="000000"/>
          <w:sz w:val="22"/>
          <w:szCs w:val="22"/>
        </w:rPr>
        <w:t xml:space="preserve">Positive: pure Go (ADR-001); standard library governance and security patch guarantees; FIPS 203 compliant; constant-time implementation; no additional dependency.</w:t>
      </w:r>
    </w:p>
    <w:p>
      <w:pPr>
        <w:spacing w:before="60" w:after="60"/>
      </w:pPr>
      <w:r>
        <w:rPr>
          <w:rFonts w:ascii="Arial" w:cs="Arial" w:eastAsia="Arial" w:hAnsi="Arial"/>
          <w:color w:val="000000"/>
          <w:sz w:val="22"/>
          <w:szCs w:val="22"/>
        </w:rPr>
        <w:t xml:space="preserve">Negative: requires Go 1.24 minimum; only ML-KEM-768 and ML-KEM-1024 available (no ML-KEM-512); newer than liboqs in terms of external scrutiny (though Go team internal review is rigorous).</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liboqs / liboqs-go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CGO dependency violates ADR-001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cloudflare/circl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Prefer stdlib governance over external dependency when stdlib covers the need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 ML-KEM implementation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NF-10 explicitly prohibits custom cryptographic implementations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Classical ECDH only (defer PQ)</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Threat model requires PQ key encapsulation from day one</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ADR-004 — ML-DSA via trailofbits/ml-dsa</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CR-03, CR-07, ID-01, GP-03, SH-08, IN-01, CL-01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 ADR-003, ADR-006</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ML-DSA (NIST FIPS 204, standardized August 2024) is required for node identity, TLS certificate derivation, gossip message signing, shard hash signing, invite token signing, and credit ledger signing. Unlike ML-KEM, ML-DSA has not yet been added to the Go standard library as of Go 1.24. The initial design referenced liboqs-go (CGO, violates ADR-001).</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Use github.com/trailofbits/ml-dsa/mldsa65 with the ML-DSA-65 parameter set. Trail of Bits is a leading security auditing firm. The library is pure Go, FIPS 204 compliant, and authored by professionals whose primary business is finding flaws in exactly this class of code. Pin to a specific tagged version in go.mod. When the Go standard library adds ML-DSA, migrate to it (create a tracking issue).</w:t>
      </w:r>
    </w:p>
    <w:p>
      <w:pPr>
        <w:spacing w:before="60" w:after="60"/>
      </w:pPr>
      <w:r>
        <w:rPr>
          <w:rFonts w:ascii="Arial" w:cs="Arial" w:eastAsia="Arial" w:hAnsi="Arial"/>
          <w:color w:val="000000"/>
          <w:sz w:val="22"/>
          <w:szCs w:val="22"/>
        </w:rPr>
        <w:t xml:space="preserve">OPEN: Canonical encoding for MessageEnvelope signatures (raw bytes vs DER) — assigned to Glenn, Week 1. Update this ADR when resolved.</w:t>
      </w:r>
    </w:p>
    <w:p>
      <w:pPr>
        <w:spacing w:before="60" w:after="60"/>
      </w:pPr>
    </w:p>
    <w:p>
      <w:pPr>
        <w:pStyle w:val="Heading2"/>
        <w:spacing w:before="240" w:after="80"/>
      </w:pPr>
      <w:r>
        <w:rPr>
          <w:rFonts w:ascii="Arial" w:cs="Arial" w:eastAsia="Arial" w:hAnsi="Arial"/>
          <w:b/>
          <w:bCs/>
          <w:color w:val="2E5F8A"/>
          <w:sz w:val="26"/>
          <w:szCs w:val="26"/>
        </w:rPr>
        <w:t xml:space="preserve">Consequences</w:t>
      </w:r>
    </w:p>
    <w:p>
      <w:pPr>
        <w:spacing w:before="60" w:after="60"/>
      </w:pPr>
      <w:r>
        <w:rPr>
          <w:rFonts w:ascii="Arial" w:cs="Arial" w:eastAsia="Arial" w:hAnsi="Arial"/>
          <w:color w:val="000000"/>
          <w:sz w:val="22"/>
          <w:szCs w:val="22"/>
        </w:rPr>
        <w:t xml:space="preserve">Positive: pure Go (ADR-001); FIPS 204 compliant; security-team authorship; constant-time implementation.</w:t>
      </w:r>
    </w:p>
    <w:p>
      <w:pPr>
        <w:spacing w:before="60" w:after="60"/>
      </w:pPr>
      <w:r>
        <w:rPr>
          <w:rFonts w:ascii="Arial" w:cs="Arial" w:eastAsia="Arial" w:hAnsi="Arial"/>
          <w:color w:val="000000"/>
          <w:sz w:val="22"/>
          <w:szCs w:val="22"/>
        </w:rPr>
        <w:t xml:space="preserve">Negative: external dependency requires monitoring; ML-DSA-65 signatures are 3309 bytes (vs 64 bytes for Ed25519) — must account for gossip message bandwidth overhead; migration to stdlib required when available.</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liboqs / liboqs-go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CGO dependency violates ADR-001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cloudflare/circl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Implements draft Dilithium not final FIPS 204 ML-DSA — subtle incompatibilities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Wait for Go stdlib ML-DSA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 uncertain; cannot block Week 1 identity implementation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Ed25519 only (classical)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Threat model requires quantum-resistant signatures</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ADR-005 — gnark over bellman/arkworks for ZK Proofs</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PR-07, CL-04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ADR-001</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Phase 3 requires ZK-SNARKs for blind shard possession proofs (ZK-PoR) and Phase 3 credit claims. The initial design referenced bellman and arkworks-rs — mature Rust frameworks used in Zcash and Filecoin. Calling these from Go requires FFI/CGO (violates ADR-001) or a Rust sidecar process (significant architectural complexity).</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Use github.com/consensys/gnark with the Groth16 backend. gnark is a pure-Go zkSNARK library used in production by Linea (ConsenSys L2 rollup). PLONK is available as fallback if Groth16 proving time exceeds 2 seconds on the OptiPlex 990. This decision is gated on a benchmark at the start of Week 15 before any circuit code is written. Results must be documented in docs/BENCHMARKS.md.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Benchmark Target</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Hardware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Groth16 prove (SHA3-256 preimage)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OptiPlex 990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2 seconds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Groth16 prove (SHA3-256 preimage)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Raspberry Pi 3B</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&lt;= 10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PLONK prove (fallback)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OptiPlex 990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Evaluate if Groth16 fails</w:t>
            </w:r>
          </w:p>
        </w:tc>
      </w:tr>
    </w:tbl>
    <w:p>
      <w:pPr>
        <w:spacing w:before="60" w:after="60"/>
      </w:pPr>
    </w:p>
    <w:p>
      <w:pPr>
        <w:pStyle w:val="Heading2"/>
        <w:spacing w:before="240" w:after="80"/>
      </w:pPr>
      <w:r>
        <w:rPr>
          <w:rFonts w:ascii="Arial" w:cs="Arial" w:eastAsia="Arial" w:hAnsi="Arial"/>
          <w:b/>
          <w:bCs/>
          <w:color w:val="2E5F8A"/>
          <w:sz w:val="26"/>
          <w:szCs w:val="26"/>
        </w:rPr>
        <w:t xml:space="preserve">Consequences</w:t>
      </w:r>
    </w:p>
    <w:p>
      <w:pPr>
        <w:spacing w:before="60" w:after="60"/>
      </w:pPr>
      <w:r>
        <w:rPr>
          <w:rFonts w:ascii="Arial" w:cs="Arial" w:eastAsia="Arial" w:hAnsi="Arial"/>
          <w:color w:val="000000"/>
          <w:sz w:val="22"/>
          <w:szCs w:val="22"/>
        </w:rPr>
        <w:t xml:space="preserve">Positive: pure Go (ADR-001); single codebase language; production-deployed library; Go circuit syntax accessible to existing team; proof size within PR-07 target (&lt;2KB).</w:t>
      </w:r>
    </w:p>
    <w:p>
      <w:pPr>
        <w:spacing w:before="60" w:after="60"/>
      </w:pPr>
      <w:r>
        <w:rPr>
          <w:rFonts w:ascii="Arial" w:cs="Arial" w:eastAsia="Arial" w:hAnsi="Arial"/>
          <w:color w:val="000000"/>
          <w:sz w:val="22"/>
          <w:szCs w:val="22"/>
        </w:rPr>
        <w:t xml:space="preserve">Negative: younger than bellman/arkworks; may be slower than Rust implementations on equivalent hardware (mitigated by benchmark gate); Groth16 requires a one-time trusted setup ceremony before Phase 3 launch.</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bellman (Rust) via CGO/FFI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CGO violates ADR-001; sidecar adds latency and operational complexity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arkworks-rs (Rust) via CGO/FFI</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Same as bellman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Bulletproofs (no trusted setup)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 verification time too slow for continuous PoR challenges at scale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Defer ZK-PoR to post-MVP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Acceptable fallback IF Week 15 benchmark gate is not met — document in BENCHMARKS.md</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ADR-006 — Hybrid Classical / Post-Quantum Cryptography Mode</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CR-05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ADR-003, ADR-004</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During the Phase 2 deployment period not all nodes will have upgraded to Go 1.24+ with PQ primitive support. Additionally, PQ implementations are younger than classical ones — defense-in-depth via a hybrid approach provides protection if a flaw is found in a PQ primitive. NIST IR 8413 recommends hybrid PQ/classical approaches during the transition period.</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Run classic ECDH (X25519) alongside ML-KEM-768, and Ed25519 alongside ML-DSA-65, during the Phase 2 transition period. The hybrid key derivation uses HKDF(ML-KEM-shared-secret || ECDH-shared-secret) — an attacker must break both to recover the symmetric key. Both signature types are included in MessageEnvelope during transition; receivers verify ML-DSA preferentially. Activation is per-connection based on version negotiation. Libraries: golang.org/x/crypto/curve25519 (X25519) and crypto/ed25519 (stdlib) — both pure Go.</w:t>
      </w:r>
    </w:p>
    <w:p>
      <w:pPr>
        <w:spacing w:before="60" w:after="60"/>
      </w:pPr>
    </w:p>
    <w:p>
      <w:pPr>
        <w:pStyle w:val="Heading2"/>
        <w:spacing w:before="240" w:after="80"/>
      </w:pPr>
      <w:r>
        <w:rPr>
          <w:rFonts w:ascii="Arial" w:cs="Arial" w:eastAsia="Arial" w:hAnsi="Arial"/>
          <w:b/>
          <w:bCs/>
          <w:color w:val="2E5F8A"/>
          <w:sz w:val="26"/>
          <w:szCs w:val="26"/>
        </w:rPr>
        <w:t xml:space="preserve">Hybrid Deprecation Criteria</w:t>
      </w:r>
    </w:p>
    <w:p>
      <w:pPr>
        <w:spacing w:before="60" w:after="60"/>
      </w:pPr>
      <w:r>
        <w:rPr>
          <w:rFonts w:ascii="Arial" w:cs="Arial" w:eastAsia="Arial" w:hAnsi="Arial"/>
          <w:color w:val="000000"/>
          <w:sz w:val="22"/>
          <w:szCs w:val="22"/>
        </w:rPr>
        <w:t xml:space="preserve">Hybrid mode can be deprecated (PQ-only becomes mandatory) when: all known nodes run Go 1.24+; no v1 nodes have been seen for 30+ days; team agrees via explicit vote documented in the dev log.</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PQ-only from day 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PQ implementations younger; no backward compatibility during deployment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Classical-only now, migrate later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Harvest-now-decrypt-later attack on long-lived secrets; threat model requires PQ from day 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ECDH + ML-KEM but Ed25519-only signatures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Quantum adversary can forge Ed25519 — both KEM and signing must be PQ-protected</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ADR-007 — Erasure Coding Scheme Progression (2-of-3 → 3-of-5 → 5-of-9)</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SH-01, SH-02, SH-09, NF-06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ADR-008</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Reed-Solomon erasure coding distributes shards so that any k-of-n shards reconstruct the file. The scheme must balance storage overhead, fault tolerance, and minimum required network size. The network grows from 4 personal devices (Phase 1) to ~7 trusted nodes (Phase 2) to open participation (Phase 3). A single fixed scheme cannot serve all phases efficiently.</w:t>
      </w:r>
    </w:p>
    <w:p>
      <w:pPr>
        <w:spacing w:before="60" w:after="60"/>
      </w:pPr>
    </w:p>
    <w:p>
      <w:pPr>
        <w:pStyle w:val="Heading2"/>
        <w:spacing w:before="240" w:after="80"/>
      </w:pPr>
      <w:r>
        <w:rPr>
          <w:rFonts w:ascii="Arial" w:cs="Arial" w:eastAsia="Arial" w:hAnsi="Arial"/>
          <w:b/>
          <w:bCs/>
          <w:color w:val="2E5F8A"/>
          <w:sz w:val="26"/>
          <w:szCs w:val="26"/>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900"/>
        <w:gridCol w:w="1900"/>
        <w:gridCol w:w="2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Scheme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Storage Overhead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Fault Tolerance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 Nodes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 (LAN, personal)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2-of-3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node loss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(trusted group)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3-of-5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1.67×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 node losses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 (open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5-of-9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 node losses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r>
    </w:tbl>
    <w:p>
      <w:pPr>
        <w:spacing w:before="60" w:after="60"/>
      </w:pPr>
    </w:p>
    <w:p>
      <w:pPr>
        <w:spacing w:before="60" w:after="60"/>
      </w:pPr>
      <w:r>
        <w:rPr>
          <w:rFonts w:ascii="Arial" w:cs="Arial" w:eastAsia="Arial" w:hAnsi="Arial"/>
          <w:color w:val="000000"/>
          <w:sz w:val="22"/>
          <w:szCs w:val="22"/>
        </w:rPr>
        <w:t xml:space="preserve">Scheme is configurable per node in config.json. Existing shards are not retroactively re-encoded — re-encoding requires re-downloading all data which is impractical. New backups after a scheme upgrade use the new scheme. Implementation: github.com/klauspost/reedsolomon (pure Go, SIMD-accelerated, zero CGO).</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Fixed 5-of-9 from Phase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 has only 4 nodes — requires 9; blocks Phase 1 entirely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Fixed 3-of-5 from Phase 1</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Requires 5 nodes; Phase 1 has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4-of-7 for Phase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Negligible overhead difference (1.75× vs 1.8%×); NF-06 references 5-of-9 specifically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RAID-style 3× mirroring for Phase 1</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Uses 3× storage vs 1.5× for 2-of-3 erasure; harder to migrate later</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ADR-008 — PBFT-lite Quorum Consensus (No Blockchain)</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BC-01 through BC-05, CL-02, CL-09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ADR-007, ADR-009</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Distributed agreement is required for credit ledger updates, shard placement decisions, reputation changes, and invite validation. These operations require Byzantine fault tolerance — correct agreement even with actively malicious participants. Blockchain-based approaches (Bitcoin PoW, Tendermint) are explicitly prohibited by SRD constraints: 'No cryptocurrency, blockchain, or token mechanisms.'</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Implement a lightweight PBFT-inspired consensus protocol over small quorums of 5-7 nodes. Key parameters: f = floor((n-1)/3) Byzantine fault tolerance (theoretical maximum); three-phase commit (pre-prepare, prepare, commit); leader election per round with view change on failure; all committed decisions signed and gossiped. Quorums are formed from available trusted peers — full network participation is never required.</w:t>
      </w:r>
    </w:p>
    <w:p>
      <w:pPr>
        <w:spacing w:before="60" w:after="60"/>
      </w:pPr>
    </w:p>
    <w:p>
      <w:pPr>
        <w:pStyle w:val="Heading2"/>
        <w:spacing w:before="240" w:after="80"/>
      </w:pPr>
      <w:r>
        <w:rPr>
          <w:rFonts w:ascii="Arial" w:cs="Arial" w:eastAsia="Arial" w:hAnsi="Arial"/>
          <w:b/>
          <w:bCs/>
          <w:color w:val="2E5F8A"/>
          <w:sz w:val="26"/>
          <w:szCs w:val="26"/>
        </w:rPr>
        <w:t xml:space="preserve">Phased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Consensus Approach</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None required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devices trusted, single user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(Week 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Simple majority, 3-node quorum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Sufficient for trusted group; full PBFT overkill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 (Weeks 15-16)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PBFT-lite, 5-7 node quorums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Required for open participation with malicious nodes</w:t>
            </w:r>
          </w:p>
        </w:tc>
      </w:tr>
    </w:tbl>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Blockchain (Bitcoin PoW, Tendermint)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Explicitly prohibited by SRD constraints; token volatility; external infrastructure dependency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Raft consensus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Crash-fault-tolerant only, not Byzantine-fault-tolerant; malicious nodes can corrupt Raft 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HotStuff BFT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More complex to implement; O(n) vs O(n²) advantage irrelevant at quorum sizes of 5-7; noted as upgrade path if quorums grow beyond 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Last-write-wins (no consensus)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Credit ledger corrupted by any malicious gossip sender; economic model collapses</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ADR-009 — No Central Servers in the Critical Path</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ADR-009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NF-08, Section 8 Constraints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ADR-008, ADR-010</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The SRD constraint is explicit: 'No central servers in the critical path for any core operation (storage, retrieval, consensus).' And: 'The system must remain functional when the original developers are unavailable — no proprietary backend.' Common failure modes in ostensibly decentralized systems include satellite coordination nodes (Storj), central pinning services (IPFS), and hardcoded bootstrap lists controlled by developers.</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No single node, server, or service operated by the SafeGrowth team or any third party is required for storage, retrieval, peer discovery (Phase 3), or consensus. Bootstrap peers, DuckDNS, and relay nodes serve convenience roles but are explicitly non-critical for ongoing network operation.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Critical for Operation?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Bootstrap peers (DDNS)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Initial internet connectivity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 DHT takes over in Phase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New nodes cannot join; existing nodes continue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DuckDNS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DDNS for bootstrap hostname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 — any DDNS or static IP works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Bootstrap hostname unresolvable; operator-fixable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Relay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 traversal fallback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 70-80% use hole punching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~5-10% of nodes fall back to direct relay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GitHub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Source distribution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 — binary is self-contained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Cannot distribute updates; deployments unaffected</w:t>
            </w:r>
          </w:p>
        </w:tc>
      </w:tr>
    </w:tbl>
    <w:p>
      <w:pPr>
        <w:spacing w:before="60" w:after="60"/>
      </w:pPr>
    </w:p>
    <w:p>
      <w:pPr>
        <w:pStyle w:val="Heading2"/>
        <w:spacing w:before="240" w:after="80"/>
      </w:pPr>
      <w:r>
        <w:rPr>
          <w:rFonts w:ascii="Arial" w:cs="Arial" w:eastAsia="Arial" w:hAnsi="Arial"/>
          <w:b/>
          <w:bCs/>
          <w:color w:val="2E5F8A"/>
          <w:sz w:val="26"/>
          <w:szCs w:val="26"/>
        </w:rPr>
        <w:t xml:space="preserve">What Would Violate This Decision</w:t>
      </w:r>
    </w:p>
    <w:p>
      <w:pPr>
        <w:pStyle w:val="ListParagraph"/>
        <w:numPr>
          <w:ilvl w:val="0"/>
          <w:numId w:val="2"/>
        </w:numPr>
        <w:spacing w:before="40" w:after="40"/>
      </w:pPr>
      <w:r>
        <w:rPr>
          <w:rFonts w:ascii="Arial" w:cs="Arial" w:eastAsia="Arial" w:hAnsi="Arial"/>
          <w:color w:val="000000"/>
          <w:sz w:val="20"/>
          <w:szCs w:val="20"/>
        </w:rPr>
        <w:t xml:space="preserve">Any API call to a SafeGrowth-operated server required for storage, retrieval, or consensus</w:t>
      </w:r>
    </w:p>
    <w:p>
      <w:pPr>
        <w:pStyle w:val="ListParagraph"/>
        <w:numPr>
          <w:ilvl w:val="0"/>
          <w:numId w:val="2"/>
        </w:numPr>
        <w:spacing w:before="40" w:after="40"/>
      </w:pPr>
      <w:r>
        <w:rPr>
          <w:rFonts w:ascii="Arial" w:cs="Arial" w:eastAsia="Arial" w:hAnsi="Arial"/>
          <w:color w:val="000000"/>
          <w:sz w:val="20"/>
          <w:szCs w:val="20"/>
        </w:rPr>
        <w:t xml:space="preserve">Any licensing or telemetry check-in to a remote server</w:t>
      </w:r>
    </w:p>
    <w:p>
      <w:pPr>
        <w:pStyle w:val="ListParagraph"/>
        <w:numPr>
          <w:ilvl w:val="0"/>
          <w:numId w:val="2"/>
        </w:numPr>
        <w:spacing w:before="40" w:after="40"/>
      </w:pPr>
      <w:r>
        <w:rPr>
          <w:rFonts w:ascii="Arial" w:cs="Arial" w:eastAsia="Arial" w:hAnsi="Arial"/>
          <w:color w:val="000000"/>
          <w:sz w:val="20"/>
          <w:szCs w:val="20"/>
        </w:rPr>
        <w:t xml:space="preserve">Hardcoded bootstrap addresses resolving to SafeGrowth-operated servers (must be user-configurable)</w:t>
      </w:r>
    </w:p>
    <w:p>
      <w:pPr>
        <w:pStyle w:val="ListParagraph"/>
        <w:numPr>
          <w:ilvl w:val="0"/>
          <w:numId w:val="2"/>
        </w:numPr>
        <w:spacing w:before="40" w:after="40"/>
      </w:pPr>
      <w:r>
        <w:rPr>
          <w:rFonts w:ascii="Arial" w:cs="Arial" w:eastAsia="Arial" w:hAnsi="Arial"/>
          <w:color w:val="000000"/>
          <w:sz w:val="20"/>
          <w:szCs w:val="20"/>
        </w:rPr>
        <w:t xml:space="preserve">Any cryptographic operation requiring a remote service (remote CA, remote key signing)</w:t>
      </w:r>
    </w:p>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Central coordinator for shard placement / credit validation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Storj satellite model — single point of failure and liability; contradicts SRD directly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IPFS infrastructure for peer discovery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Dependency on IPFS ecosystem health; routing confusion; privacy exposure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Hardcoded bootstrap node list (Bitcoin-style DNS seeds)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Developer-controlled list is soft centralization; user-configurable config.json puts control with operators</w:t>
            </w:r>
          </w:p>
        </w:tc>
      </w:tr>
    </w:tbl>
    <w:p>
      <w:pPr>
        <w:spacing w:before="60" w:after="60"/>
      </w:pPr>
    </w:p>
    <w:p>
      <w:r>
        <w:br w:type="page"/>
      </w:r>
    </w:p>
    <w:p>
      <w:pPr>
        <w:pStyle w:val="Heading1"/>
        <w:spacing w:before="360" w:after="100"/>
      </w:pPr>
      <w:r>
        <w:rPr>
          <w:rFonts w:ascii="Arial" w:cs="Arial" w:eastAsia="Arial" w:hAnsi="Arial"/>
          <w:b/>
          <w:bCs/>
          <w:color w:val="1F3864"/>
          <w:sz w:val="32"/>
          <w:szCs w:val="32"/>
        </w:rPr>
        <w:t xml:space="preserve">ADR-010 — Credit System Without Cryptocurrency</w:t>
      </w:r>
    </w:p>
    <w:p>
      <w:pPr>
        <w:pBdr>
          <w:bottom w:val="single" w:color="2E5F8A" w:sz="6" w:space="1"/>
        </w:pBdr>
        <w:spacing w:before="80"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EBF1E8"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STATUS: Accepted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ADR-010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Deciders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Glenn + remote 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SRD References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CL-01 through CL-09, Section 8 Constraints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Related ADRs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ADR-008, ADR-009</w:t>
            </w:r>
          </w:p>
        </w:tc>
      </w:tr>
    </w:tbl>
    <w:p>
      <w:pPr>
        <w:spacing w:before="60" w:after="60"/>
      </w:pPr>
    </w:p>
    <w:p>
      <w:pPr>
        <w:pStyle w:val="Heading2"/>
        <w:spacing w:before="240" w:after="80"/>
      </w:pPr>
      <w:r>
        <w:rPr>
          <w:rFonts w:ascii="Arial" w:cs="Arial" w:eastAsia="Arial" w:hAnsi="Arial"/>
          <w:b/>
          <w:bCs/>
          <w:color w:val="2E5F8A"/>
          <w:sz w:val="26"/>
          <w:szCs w:val="26"/>
        </w:rPr>
        <w:t xml:space="preserve">Context</w:t>
      </w:r>
    </w:p>
    <w:p>
      <w:pPr>
        <w:spacing w:before="60" w:after="60"/>
      </w:pPr>
      <w:r>
        <w:rPr>
          <w:rFonts w:ascii="Arial" w:cs="Arial" w:eastAsia="Arial" w:hAnsi="Arial"/>
          <w:color w:val="000000"/>
          <w:sz w:val="22"/>
          <w:szCs w:val="22"/>
        </w:rPr>
        <w:t xml:space="preserve">The network needs contribution accounting to reward storing nodes and throttle free-riders. The obvious models are cryptocurrency-based (Filecoin FIL, Sia SC, Storj STORJ). The SRD constraint is explicit: 'No cryptocurrency, blockchain, or token mechanisms.' Reasons include token volatility making economic parameters unpredictable, user complexity, regulatory exposure, and the system's initial focus on personal/small-group use where cryptocurrency is overkill.</w:t>
      </w:r>
    </w:p>
    <w:p>
      <w:pPr>
        <w:spacing w:before="60" w:after="60"/>
      </w:pPr>
    </w:p>
    <w:p>
      <w:pPr>
        <w:pStyle w:val="Heading2"/>
        <w:spacing w:before="240" w:after="80"/>
      </w:pPr>
      <w:r>
        <w:rPr>
          <w:rFonts w:ascii="Arial" w:cs="Arial" w:eastAsia="Arial" w:hAnsi="Arial"/>
          <w:b/>
          <w:bCs/>
          <w:color w:val="2E5F8A"/>
          <w:sz w:val="26"/>
          <w:szCs w:val="26"/>
        </w:rPr>
        <w:t xml:space="preserve">Decision</w:t>
      </w:r>
    </w:p>
    <w:p>
      <w:pPr>
        <w:spacing w:before="60" w:after="60"/>
      </w:pPr>
      <w:r>
        <w:rPr>
          <w:rFonts w:ascii="Arial" w:cs="Arial" w:eastAsia="Arial" w:hAnsi="Arial"/>
          <w:color w:val="000000"/>
          <w:sz w:val="22"/>
          <w:szCs w:val="22"/>
        </w:rPr>
        <w:t xml:space="preserve">Implement a non-transferable, non-tradable internal credit system inspired by BitTorrent's tit-for-tat mechanism. Credits are earned for contribution (storage: +1 credit/GB/month; anchor uptime: +0.5/hr; mid-tier uptime: +0.25/hr) and spent for consumption (retrieval priority, faster re-replication). Credits exist only within the SafeGrowth network — no external exchange. Non-transferable between nodes. Capped per epoch via consensus. Phase 3: all claims require ZK-PoR proof.</w:t>
      </w:r>
    </w:p>
    <w:p>
      <w:pPr>
        <w:spacing w:before="60" w:after="60"/>
      </w:pPr>
    </w:p>
    <w:p>
      <w:pPr>
        <w:pStyle w:val="Heading2"/>
        <w:spacing w:before="240" w:after="80"/>
      </w:pPr>
      <w:r>
        <w:rPr>
          <w:rFonts w:ascii="Arial" w:cs="Arial" w:eastAsia="Arial" w:hAnsi="Arial"/>
          <w:b/>
          <w:bCs/>
          <w:color w:val="2E5F8A"/>
          <w:sz w:val="26"/>
          <w:szCs w:val="26"/>
        </w:rPr>
        <w:t xml:space="preserve">Anti-Gaming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Mitigated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ZK-PoR proof required (Phase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Cannot claim credits for shards not actually held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72-hour probation — zero credits for new nodes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Prevents rapid Sybil farming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Epoch caps via consensus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Prevents runaway credit accumulation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Reputation dependency (&gt;= 0.6 required to earn)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Poor behavior cuts off earning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BFT consensus validation of all claims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node cannot self-issue credits</w:t>
            </w:r>
          </w:p>
        </w:tc>
      </w:tr>
    </w:tbl>
    <w:p>
      <w:pPr>
        <w:spacing w:before="60" w:after="60"/>
      </w:pPr>
    </w:p>
    <w:p>
      <w:pPr>
        <w:pStyle w:val="Heading2"/>
        <w:spacing w:before="240" w:after="80"/>
      </w:pPr>
      <w:r>
        <w:rPr>
          <w:rFonts w:ascii="Arial" w:cs="Arial" w:eastAsia="Arial" w:hAnsi="Arial"/>
          <w:b/>
          <w:bCs/>
          <w:color w:val="2E5F8A"/>
          <w:sz w:val="26"/>
          <w:szCs w:val="26"/>
        </w:rPr>
        <w:t xml:space="preserve">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Rejection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Filecoin / FIL integration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Token volatility; wallet requirement; explicitly prohibited by SRD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Storj-style micropayments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Same as Filecoin; satellite model also contradicts ADR-009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contribution accounting (pure altruism)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Acceptable for Phase 1/2; free-rider dynamics degrade open Phase 3 network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Reputation-only, no credits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Credits add positive incentive layer on top of negative reputation threshold — both needed for healthy contribution economy</w:t>
            </w:r>
          </w:p>
        </w:tc>
      </w:tr>
    </w:tbl>
    <w:p>
      <w:pPr>
        <w:spacing w:before="60"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6" w:space="1"/>
      </w:pBdr>
      <w:tabs>
        <w:tab w:val="right" w:pos="9360"/>
      </w:tabs>
    </w:pPr>
    <w:r>
      <w:rPr>
        <w:rFonts w:ascii="Arial" w:cs="Arial" w:eastAsia="Arial" w:hAnsi="Arial"/>
        <w:color w:val="888888"/>
        <w:sz w:val="16"/>
        <w:szCs w:val="16"/>
      </w:rPr>
      <w:t xml:space="preserve">INTERNAL — SafeGrowth Team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1"/>
      </w:pBdr>
      <w:tabs>
        <w:tab w:val="right" w:pos="9360"/>
      </w:tabs>
    </w:pPr>
    <w:r>
      <w:rPr>
        <w:rFonts w:ascii="Arial" w:cs="Arial" w:eastAsia="Arial" w:hAnsi="Arial"/>
        <w:b/>
        <w:bCs/>
        <w:color w:val="1F3864"/>
        <w:sz w:val="18"/>
        <w:szCs w:val="18"/>
      </w:rPr>
      <w:t xml:space="preserve">SafeGrowth Vault — Architecture Decision Records</w:t>
    </w:r>
    <w:r>
      <w:rPr>
        <w:rFonts w:ascii="Arial" w:cs="Arial" w:eastAsia="Arial" w:hAnsi="Arial"/>
        <w:color w:val="888888"/>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2026-03-19T00:18:07.921Z</dcterms:created>
  <dcterms:modified xsi:type="dcterms:W3CDTF">2026-03-19T00:18:07.922Z</dcterms:modified>
</cp:coreProperties>
</file>

<file path=docProps/custom.xml><?xml version="1.0" encoding="utf-8"?>
<Properties xmlns="http://schemas.openxmlformats.org/officeDocument/2006/custom-properties" xmlns:vt="http://schemas.openxmlformats.org/officeDocument/2006/docPropsVTypes"/>
</file>