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0"/>
          <w:szCs w:val="20"/>
        </w:rPr>
        <w:t xml:space="preserve">CONFIDENTIAL — ATTORNEY-CLIENT PRIVILEGED</w:t>
      </w:r>
    </w:p>
    <w:p>
      <w:pPr>
        <w:jc w:val="center"/>
      </w:pPr>
      <w:r>
        <w:rPr>
          <w:sz w:val="20"/>
          <w:szCs w:val="20"/>
        </w:rPr>
        <w:t xml:space="preserve">DCGP.AI LLC · Inventor: Joshua L. Lopez</w:t>
      </w:r>
    </w:p>
    <w:p>
      <w:pPr>
        <w:jc w:val="center"/>
      </w:pPr>
      <w:r>
        <w:rPr>
          <w:sz w:val="20"/>
          <w:szCs w:val="20"/>
        </w:rPr>
        <w:t xml:space="preserve">Prepared for: Kevin Bastuba, Patent Counsel</w:t>
      </w:r>
    </w:p>
    <w:p>
      <w:r>
        <w:t xml:space="preserve"/>
      </w:r>
    </w:p>
    <w:p>
      <w:pPr>
        <w:pStyle w:val="Heading1"/>
        <w:jc w:val="center"/>
      </w:pPr>
      <w:r>
        <w:rPr>
          <w:b/>
          <w:bCs/>
          <w:sz w:val="28"/>
          <w:szCs w:val="28"/>
        </w:rPr>
        <w:t xml:space="preserve">UNITED STATES PROVISIONAL PATENT APPLICATION</w:t>
      </w:r>
    </w:p>
    <w:p>
      <w:r>
        <w:t xml:space="preserve"/>
      </w:r>
    </w:p>
    <w:p>
      <w:pPr>
        <w:jc w:val="center"/>
      </w:pPr>
      <w:r>
        <w:rPr>
          <w:b/>
          <w:bCs/>
          <w:sz w:val="24"/>
          <w:szCs w:val="24"/>
        </w:rPr>
        <w:t xml:space="preserve">TITLE OF INVENTION:</w:t>
      </w:r>
    </w:p>
    <w:p>
      <w:pPr>
        <w:jc w:val="center"/>
      </w:pPr>
      <w:r>
        <w:rPr>
          <w:b/>
          <w:bCs/>
          <w:sz w:val="24"/>
          <w:szCs w:val="24"/>
        </w:rPr>
        <w:t xml:space="preserve">GOVERNED TERRESTRIAL QUANTUM LAUNCH SYSTEM WITH ROTATIONAL CAVITATION PRIMING, LUNAR BARGE ARCHITECTURE, AND LEGENDRE-GOVERNED SOLAR DISH PROPULSION FOR PERMANENT EARTH-MOON CIRCULAR ROUTE OPERATION</w:t>
      </w:r>
    </w:p>
    <w:p>
      <w:r>
        <w:t xml:space="preserve"/>
      </w:r>
    </w:p>
    <w:p>
      <w:r>
        <w:rPr>
          <w:b/>
          <w:bCs/>
        </w:rPr>
        <w:t xml:space="preserve">Filing Date: July 17, 2026</w:t>
      </w:r>
    </w:p>
    <w:p>
      <w:r>
        <w:rPr>
          <w:b/>
          <w:bCs/>
        </w:rPr>
        <w:t xml:space="preserve">Inventor: Joshua L. Lopez, Santa Rosa Beach, Florida</w:t>
      </w:r>
    </w:p>
    <w:p>
      <w:r>
        <w:rPr>
          <w:b/>
          <w:bCs/>
        </w:rPr>
        <w:t xml:space="preserve">Assignee: DCGP.AI LLC</w:t>
      </w:r>
    </w:p>
    <w:p>
      <w:r>
        <w:rPr>
          <w:b/>
          <w:bCs/>
        </w:rPr>
        <w:t xml:space="preserve">USPTO Customer No.: 222625</w:t>
      </w:r>
    </w:p>
    <w:p>
      <w:r>
        <w:t xml:space="preserve"/>
      </w:r>
    </w:p>
    <w:p>
      <w:pPr>
        <w:pStyle w:val="Heading1"/>
      </w:pPr>
      <w:r>
        <w:rPr>
          <w:b/>
          <w:bCs/>
        </w:rPr>
        <w:t xml:space="preserve">CROSS-REFERENCE TO RELATED APPLICATIONS</w:t>
      </w:r>
    </w:p>
    <w:p>
      <w:r>
        <w:t xml:space="preserve">This application claims priority to and incorporates by reference the following co-pending United States patent applications, all invented by Joshua L. Lopez:</w:t>
      </w:r>
    </w:p>
    <w:p>
      <w:r>
        <w:t xml:space="preserve"/>
      </w:r>
    </w:p>
    <w:p>
      <w:r>
        <w:t xml:space="preserve">• U.S. Patent Application No. 19/657,064 — Quantum Escape Engine (primary filing)</w:t>
      </w:r>
    </w:p>
    <w:p>
      <w:r>
        <w:t xml:space="preserve">• U.S. Patent Application No. 19/645,168 — Lopez Quantum Turbine</w:t>
      </w:r>
    </w:p>
    <w:p>
      <w:r>
        <w:t xml:space="preserve">• U.S. Patent Application No. 19/731,025 — Governed Kerr-Newman Canonical Canvas (gravity-as-decoherence framework)</w:t>
      </w:r>
    </w:p>
    <w:p>
      <w:r>
        <w:t xml:space="preserve">• U.S. Patent Application No. PCT/US26/29665 — Gravity-Manifold Projection Validation Apparatus</w:t>
      </w:r>
    </w:p>
    <w:p>
      <w:r>
        <w:t xml:space="preserve">• U.S. Patent Application No. 19/555,951 — Governed Equilibrium Engine (anchor nonprovisional)</w:t>
      </w:r>
    </w:p>
    <w:p>
      <w:r>
        <w:t xml:space="preserve">• U.S. Patent Application No. 19/730,900 — Contact-Hamiltonian Constitutional Gate</w:t>
      </w:r>
    </w:p>
    <w:p>
      <w:r>
        <w:t xml:space="preserve">• Gold Film solar interface (prior disclosure)</w:t>
      </w:r>
    </w:p>
    <w:p>
      <w:r>
        <w:t xml:space="preserve">• MH66 constitutional hardware substrate (prior disclosure)</w:t>
      </w:r>
    </w:p>
    <w:p>
      <w:r>
        <w:t xml:space="preserve"/>
      </w:r>
    </w:p>
    <w:p>
      <w:pPr>
        <w:pStyle w:val="Heading1"/>
      </w:pPr>
      <w:r>
        <w:rPr>
          <w:b/>
          <w:bCs/>
        </w:rPr>
        <w:t xml:space="preserve">FIELD OF THE INVENTION</w:t>
      </w:r>
    </w:p>
    <w:p>
      <w:r>
        <w:t xml:space="preserve">This invention relates to governed quantum propulsion systems, terrestrial launch architectures employing rotational cavitation priming, and permanent Earth-Moon cargo transport infrastructure. More specifically, this invention discloses: (1) the Atlanta Ground Launch Lever Accelerator — a long-arm terrestrial lever system that uses rotational arm revolutions to prime a quantum cavitation field, triggering a governed quantum leap at the moment of payload release; (2) the Rotational Cavitation Priming Sequence — the mechanism by which arm revolutions build cavitation field amplitude through MH66-governed active field management; (3) the Simultaneous Ignition Architecture — the unified trigger event by which quantum cavitation, the Lopez Quantum Turbine, and the Quantum Escape Engine fire in synchrony at bubble lock; and (4) the Lunar Barge System — a governed cargo vessel architecture employing Gold Film dish arrays with rotational Legendre-governed propulsion for permanent Earth-Moon circular route operation.</w:t>
      </w:r>
    </w:p>
    <w:p>
      <w:r>
        <w:t xml:space="preserve"/>
      </w:r>
    </w:p>
    <w:p>
      <w:pPr>
        <w:pStyle w:val="Heading1"/>
      </w:pPr>
      <w:r>
        <w:rPr>
          <w:b/>
          <w:bCs/>
        </w:rPr>
        <w:t xml:space="preserve">BACKGROUND OF THE INVENTION</w:t>
      </w:r>
    </w:p>
    <w:p>
      <w:r>
        <w:t xml:space="preserve">Conventional launch systems require enormous chemical propellant expenditure to overcome Earth's gravitational field. Gravitational slingshot maneuvers use planetary gravity wells to accelerate payloads but do not bypass gravity — they exploit it. Neither approach escapes the fundamental constraint that gravity, treated in the DCGP framework as a decoherence force acting on quantum systems, must be overcome through brute energy expenditure or exploited through trajectory geometry.</w:t>
      </w:r>
    </w:p>
    <w:p>
      <w:r>
        <w:t xml:space="preserve"/>
      </w:r>
    </w:p>
    <w:p>
      <w:r>
        <w:t xml:space="preserve">Prior art in quantum propulsion does not teach: (a) the use of rotational mechanical acceleration as a cavitation field priming mechanism; (b) MH66 constitutional hardware substrate as a distributed active governor across both launch arm and payload during the priming sequence; (c) simultaneous ignition of quantum cavitation, turbine, and escape engine at a signal-condition bubble lock event; or (d) Gold Film dish arrays with Legendre submanifold governed rotational reorientation as a combined power generation and directional propulsion system for a permanent Earth-Moon cargo barge.</w:t>
      </w:r>
    </w:p>
    <w:p>
      <w:r>
        <w:t xml:space="preserve"/>
      </w:r>
    </w:p>
    <w:p>
      <w:pPr>
        <w:pStyle w:val="Heading1"/>
      </w:pPr>
      <w:r>
        <w:rPr>
          <w:b/>
          <w:bCs/>
        </w:rPr>
        <w:t xml:space="preserve">SUMMARY OF THE INVENTION</w:t>
      </w:r>
    </w:p>
    <w:p>
      <w:r>
        <w:t xml:space="preserve">The present invention discloses a unified governed terrestrial quantum launch system comprising four integrated inventive components:</w:t>
      </w:r>
    </w:p>
    <w:p>
      <w:r>
        <w:t xml:space="preserve"/>
      </w:r>
    </w:p>
    <w:p>
      <w:r>
        <w:rPr>
          <w:b/>
          <w:bCs/>
        </w:rPr>
        <w:t xml:space="preserve">COMPONENT 1 — ATLANTA GROUND LAUNCH LEVER ACCELERATOR</w:t>
      </w:r>
    </w:p>
    <w:p>
      <w:r>
        <w:t xml:space="preserve">A long-arm lever system launched from a ground launchpad outside Atlanta, Georgia. The arm is engineered to be as long as physically practicable to maximize leverage of Earth's rotational momentum. The payload — comprising rocket, fuel, and governed quantum engine stack — is mounted at the distal end of the arm. The arm executes a revolution sequence through a predetermined number of rotational cycles, during which the MH66 constitutional hardware substrate, distributed across both arm structure and payload, actively governs the build of the quantum cavitation field. At a predetermined release angle, a signal condition is detected by the Quantum Escape Engine indicating cavitation field threshold amplitude has been reached, triggering simultaneous release of the payload and ignition of the full quantum engine stack.</w:t>
      </w:r>
    </w:p>
    <w:p>
      <w:r>
        <w:t xml:space="preserve"/>
      </w:r>
    </w:p>
    <w:p>
      <w:r>
        <w:rPr>
          <w:b/>
          <w:bCs/>
        </w:rPr>
        <w:t xml:space="preserve">COMPONENT 2 — ROTATIONAL CAVITATION PRIMING SEQUENCE</w:t>
      </w:r>
    </w:p>
    <w:p>
      <w:r>
        <w:t xml:space="preserve">Each revolution of the lever arm builds cavitation field amplitude through active MH66 governance of the quantum vacuum state surrounding the payload. The MH66 substrate functions as an active governor — not a passive substrate — managing the cavitation field build throughout the revolution sequence via the Contact Hamiltonian correction law u = -k·grad(h). The cavitation field amplitude accumulates across revolutions, priming the virtual space-time bubble from ambient quantum vacuum fluctuation levels toward the threshold condition required for stable bubble lock. The bubble does not fire cold at release — it is pre-formed and hovering at threshold prior to the release event.</w:t>
      </w:r>
    </w:p>
    <w:p>
      <w:r>
        <w:t xml:space="preserve"/>
      </w:r>
    </w:p>
    <w:p>
      <w:r>
        <w:rPr>
          <w:b/>
          <w:bCs/>
        </w:rPr>
        <w:t xml:space="preserve">COMPONENT 3 — SIMULTANEOUS IGNITION ARCHITECTURE</w:t>
      </w:r>
    </w:p>
    <w:p>
      <w:r>
        <w:t xml:space="preserve">At the moment the Quantum Escape Engine detects cavitation field threshold amplitude — the signal condition — three events occur simultaneously: (a) the lever arm releases the payload; (b) quantum cavitation locks the virtual space-time bubble into a stable governed configuration; and (c) the Lopez Quantum Turbine and Quantum Escape Engine fire in synchrony. The simultaneous ignition is governed by the Contact Hamiltonian correction law synchronizing all three stages to maintain admissible manifold coherence at the ignition moment. The positive definite manifold ensures all information in all directions remains positive definite throughout the leap, preventing gravitational decoherence from collapsing the bubble state during the instantaneous quantum transition. The payload exits Earth's gravitational field without decohering, without conventional escape velocity fuel expenditure, and without any intermediate gravitational influence.</w:t>
      </w:r>
    </w:p>
    <w:p>
      <w:r>
        <w:t xml:space="preserve"/>
      </w:r>
    </w:p>
    <w:p>
      <w:r>
        <w:rPr>
          <w:b/>
          <w:bCs/>
        </w:rPr>
        <w:t xml:space="preserve">COMPONENT 4 — LUNAR BARGE SYSTEM WITH GOLD FILM DISH ARRAY PROPULSION</w:t>
      </w:r>
    </w:p>
    <w:p>
      <w:r>
        <w:t xml:space="preserve">Following quantum leap to orbit, the governed payload transitions to the Lunar Barge System — a cargo vessel architecture designed for permanent Earth-Moon circular route operation. The barge carries standardized cargo containers that are effectively massless to tow in orbit, decoupling launch mass from transit mass. The barge hull carries Gold Film mounted in parabolic dish arrays positioned at optimized locations on the barge frame. The dish arrays are rotational and mobile — continuously reorienting during transit as proximity to Sun and Moon changes, as light shadows shift, and as the barge moves through different phases of the Earth-Moon route. Dish reorientation is governed by a hybrid system integrating the Contact Hamiltonian correction law and admissible manifold boundary conditions, with the Legendre submanifold interaction governing the translation of dish angle into directional thrust vector. The full dish array reorients as a unified governed field between outbound and return legs. Shadow handling employs a triple-layer architecture: governed energy buffer storage during shadow windows, Quantum Turbine coherence maintenance through shadow periods, and admissible manifold path selection actively routing the barge to avoid shadow zones where possible. The Lunar Highway constitutes a permanent powered circular route between Earth and Moon — a closed loop operating continuously under Gold Film solar propulsion with beyond-over-the-horizon governance capability.</w:t>
      </w:r>
    </w:p>
    <w:p>
      <w:r>
        <w:t xml:space="preserve"/>
      </w:r>
    </w:p>
    <w:p>
      <w:pPr>
        <w:pStyle w:val="Heading1"/>
      </w:pPr>
      <w:r>
        <w:rPr>
          <w:b/>
          <w:bCs/>
        </w:rPr>
        <w:t xml:space="preserve">DETAILED DESCRIPTION OF THE PREFERRED EMBODIMENTS</w:t>
      </w:r>
    </w:p>
    <w:p>
      <w:pPr>
        <w:pStyle w:val="Heading2"/>
      </w:pPr>
      <w:r>
        <w:rPr>
          <w:b/>
          <w:bCs/>
        </w:rPr>
        <w:t xml:space="preserve">I. THE ATLANTA GROUND LAUNCH LEVER ACCELERATOR</w:t>
      </w:r>
    </w:p>
    <w:p>
      <w:r>
        <w:t xml:space="preserve">The Atlanta Ground Launch Lever Accelerator (hereinafter "the Accelerator") is a terrestrial launch system comprising a long lever arm mounted on a ground launchpad outside Atlanta, Georgia. The arm is designed to be as long as physically practicable — arm length is a primary engineering parameter because it directly governs the tangential velocity achievable at the payload mount point for a given rotational rate, and therefore the peak velocity delivered to the payload at release. Longer arm length at equivalent rotational rate produces higher payload velocity and, critically, higher centripetal acceleration acting on the payload during the revolution sequence.</w:t>
      </w:r>
    </w:p>
    <w:p>
      <w:r>
        <w:t xml:space="preserve"/>
      </w:r>
    </w:p>
    <w:p>
      <w:r>
        <w:t xml:space="preserve">The payload — comprising the spacecraft, fuel, Lopez Quantum Turbine, Quantum Escape Engine, MH66 constitutional hardware substrate, and stowed Gold Film dish arrays — is mounted at the distal end of the arm in a precisely configured cradle. The MH66 substrate is distributed across both the arm structure itself and the payload cradle, establishing a continuous governed field spanning the full mechanical system from pivot to payload.</w:t>
      </w:r>
    </w:p>
    <w:p>
      <w:r>
        <w:t xml:space="preserve"/>
      </w:r>
    </w:p>
    <w:p>
      <w:pPr>
        <w:pStyle w:val="Heading2"/>
      </w:pPr>
      <w:r>
        <w:rPr>
          <w:b/>
          <w:bCs/>
        </w:rPr>
        <w:t xml:space="preserve">II. ROTATIONAL CAVITATION PRIMING — REVOLUTION SEQUENCE</w:t>
      </w:r>
    </w:p>
    <w:p>
      <w:r>
        <w:t xml:space="preserve">Prior to arm rotation, the Quantum Escape Engine initializes in constitutional standby: the Contact Hamiltonian correction law u = -k·grad(h) is active at baseline, the Legendre submanifold interaction layer is initialized, and MH66 is governing the substrate at ambient quantum vacuum fluctuation levels. The cavitation field amplitude at this stage is at the zero-point floor — the system is constitutionally alive but the bubble has not begun forming.</w:t>
      </w:r>
    </w:p>
    <w:p>
      <w:r>
        <w:t xml:space="preserve"/>
      </w:r>
    </w:p>
    <w:p>
      <w:r>
        <w:t xml:space="preserve">As the arm begins rotating, the payload enters a non-inertial rotating frame. The rotational acceleration acts on the quantum vacuum surrounding the payload, agitating the local vacuum state above the ambient zero-point floor. MH66, operating as an active governor across both arm and payload, detects this vacuum excitation and begins managing the cavitation field build — depositing coherence reserve into the governed state of the system with each correction cycle of the Contact Hamiltonian. The cavitation field amplitude builds across revolutions. The Legendre submanifold interaction layer, which tracks the evolving phase space geometry as momentum direction changes continuously through each rotational arc, begins to resonate with the rotational frequency of the arm. This resonant entrainment deepens with each revolution, driving cavitation field amplitude nonlinearly as rotational velocity increases. The arm revolution sequence, the MH66 governance layer, and the Legendre submanifold resonance constitute a unified priming mechanism — the mechanical and quantum layers are inseparable.</w:t>
      </w:r>
    </w:p>
    <w:p>
      <w:r>
        <w:t xml:space="preserve"/>
      </w:r>
    </w:p>
    <w:p>
      <w:pPr>
        <w:pStyle w:val="Heading2"/>
      </w:pPr>
      <w:r>
        <w:rPr>
          <w:b/>
          <w:bCs/>
        </w:rPr>
        <w:t xml:space="preserve">III. BUBBLE LOCK — SIGNAL CONDITION AND SIMULTANEOUS IGNITION</w:t>
      </w:r>
    </w:p>
    <w:p>
      <w:r>
        <w:t xml:space="preserve">The threshold condition for bubble lock is a signal condition — the Quantum Escape Engine continuously monitors cavitation field amplitude during the revolution sequence and detects when threshold has been reached. This is not a predetermined revolution count; it is an active engine detection event. When the engine detects threshold amplitude, it simultaneously signals: (a) arm release of the payload; (b) bubble lock — the virtual space-time bubble transitions from the pre-threshold hovering state to a stable locked configuration; and (c) simultaneous ignition of quantum cavitation stabilization, the Lopez Quantum Turbine, and the Quantum Escape Engine leap execution.</w:t>
      </w:r>
    </w:p>
    <w:p>
      <w:r>
        <w:t xml:space="preserve"/>
      </w:r>
    </w:p>
    <w:p>
      <w:r>
        <w:t xml:space="preserve">The simultaneous ignition is governed by the Contact Hamiltonian correction law, which synchronizes all three ignition events to maintain admissible manifold coherence at the moment of transition. The positive definite manifold ensures all information in all directions remains positive definite throughout the quantum leap, preventing gravitational decoherence — gravity acting as a decoherence force on the quantum system — from collapsing the bubble state during the transition. The leap is instantaneous relative to the gravitational decoherence timescale. The payload exits Earth's gravitational field cleanly, without decohering, and without any intermediate gravitational influence during the transition.</w:t>
      </w:r>
    </w:p>
    <w:p>
      <w:r>
        <w:t xml:space="preserve"/>
      </w:r>
    </w:p>
    <w:p>
      <w:pPr>
        <w:pStyle w:val="Heading2"/>
      </w:pPr>
      <w:r>
        <w:rPr>
          <w:b/>
          <w:bCs/>
        </w:rPr>
        <w:t xml:space="preserve">IV. LUNAR BARGE SYSTEM — GOLD FILM DISH ARRAY ARCHITECTURE</w:t>
      </w:r>
    </w:p>
    <w:p>
      <w:r>
        <w:t xml:space="preserve">Following quantum leap to orbit, the Gold Film dish arrays deploy from their stowed configuration. The dish arrays are parabolic collectors — not flat sails — mounted at optimized positions on the barge hull frame. Each dish is oriented to maximize energy harvest relative to the current position of the Sun and Moon along the Earth-Moon route. The full array reorients as a unified governed field — there are no dedicated solar-only or lunar-only dishes. The entire array optimizes collectively for the current leg geometry, outbound or return.</w:t>
      </w:r>
    </w:p>
    <w:p>
      <w:r>
        <w:t xml:space="preserve"/>
      </w:r>
    </w:p>
    <w:p>
      <w:r>
        <w:t xml:space="preserve">Dish reorientation during transit is continuous and real-time. The orientation governance layer integrates the Contact Hamiltonian correction law and admissible manifold boundary conditions to calculate optimal dish angles at each point in the route cycle as a function of changing Sun position, Moon position, barge velocity vector, and local shadow geometry. The Legendre submanifold interaction governs the translation of dish angle into directional thrust vector — dish orientation is not merely a power generation parameter but a propulsion vector control mechanism. Dish angle translates to directed thrust through the Legendre submanifold operating on the positive definite manifold to maintain admissibility of the thrust vector throughout the route cycle.</w:t>
      </w:r>
    </w:p>
    <w:p>
      <w:r>
        <w:t xml:space="preserve"/>
      </w:r>
    </w:p>
    <w:p>
      <w:r>
        <w:t xml:space="preserve">Shadow handling employs three simultaneous mechanisms: governed energy buffer storage preserves harvested energy through shadow windows; the Quantum Turbine maintains coherence and propulsion through shadow periods independent of solar input; and admissible manifold path selection actively routes the barge to avoid shadow zones where the route geometry permits. The Lunar Highway — the permanent powered circular route between Earth and Moon — operates continuously under this governed architecture. The route runs as a closed loop. Cargo containers are launched from Earth via the Atlanta Ground Launch Lever Accelerator, transferred to barge in orbit, towed to the Moon for delivery, and the barge returns empty for reload. The barge cycle constitutes the beginning of the permanent Lunar Bridge supply infrastructure.</w:t>
      </w:r>
    </w:p>
    <w:p>
      <w:r>
        <w:t xml:space="preserve"/>
      </w:r>
    </w:p>
    <w:p>
      <w:p>
        <w:r>
          <w:br/>
          <w:t xml:space="preserve"/>
        </w:r>
      </w:p>
    </w:p>
    <w:p>
      <w:pPr>
        <w:pStyle w:val="Heading1"/>
      </w:pPr>
      <w:r>
        <w:rPr>
          <w:b/>
          <w:bCs/>
        </w:rPr>
        <w:t xml:space="preserve">CLAIMS</w:t>
      </w:r>
    </w:p>
    <w:p>
      <w:r>
        <w:rPr>
          <w:b/>
          <w:bCs/>
        </w:rPr>
        <w:t xml:space="preserve">1.  A governed terrestrial quantum launch system comprising:</w:t>
      </w:r>
    </w:p>
    <w:p>
      <w:r>
        <w:t xml:space="preserve">    a long-arm lever accelerator mounted on a ground launchpad, wherein the arm is configured to rotate through a revolution sequence to accelerate a payload mounted at the distal end of the arm;</w:t>
      </w:r>
    </w:p>
    <w:p>
      <w:r>
        <w:t xml:space="preserve">    an MH66 constitutional hardware substrate distributed across both the arm structure and the payload, wherein the MH66 substrate functions as an active governor of a quantum cavitation field build during the revolution sequence;</w:t>
      </w:r>
    </w:p>
    <w:p>
      <w:r>
        <w:t xml:space="preserve">    a Quantum Escape Engine integrated into the payload, wherein the Quantum Escape Engine monitors cavitation field amplitude during the revolution sequence and detects a threshold signal condition;</w:t>
      </w:r>
    </w:p>
    <w:p>
      <w:r>
        <w:t xml:space="preserve">    a Lopez Quantum Turbine integrated into the payload; and</w:t>
      </w:r>
    </w:p>
    <w:p>
      <w:r>
        <w:t xml:space="preserve">    a simultaneous ignition architecture wherein, upon detection of the threshold signal condition by the Quantum Escape Engine, the arm releases the payload, the virtual space-time bubble locks, and the quantum cavitation stabilization, Lopez Quantum Turbine, and Quantum Escape Engine fire simultaneously, governed by the Contact Hamiltonian correction law u = -k·grad(h).</w:t>
      </w:r>
    </w:p>
    <w:p>
      <w:r>
        <w:t xml:space="preserve"/>
      </w:r>
    </w:p>
    <w:p>
      <w:r>
        <w:rPr>
          <w:b w:val="false"/>
          <w:bCs w:val="false"/>
        </w:rPr>
        <w:t xml:space="preserve">2.  The system of claim 1, wherein the MH66 constitutional hardware substrate governs the cavitation field build by executing the Contact Hamiltonian correction law continuously across both arm and payload during each revolution of the revolution sequence, depositing coherence reserve into the governed state of the system with each correction cycle.</w:t>
      </w:r>
    </w:p>
    <w:p>
      <w:r>
        <w:t xml:space="preserve"/>
      </w:r>
    </w:p>
    <w:p>
      <w:r>
        <w:t xml:space="preserve">3.  The system of claim 1, wherein the Legendre submanifold interaction layer of the Quantum Escape Engine resonates with the rotational frequency of the arm during the revolution sequence, driving cavitation field amplitude nonlinearly as rotational velocity increases.</w:t>
      </w:r>
    </w:p>
    <w:p>
      <w:r>
        <w:t xml:space="preserve"/>
      </w:r>
    </w:p>
    <w:p>
      <w:r>
        <w:t xml:space="preserve">4.  The system of claim 1, wherein the positive definite manifold maintains all information in all directions positive definite throughout the quantum leap, preventing gravitational decoherence from collapsing the virtual space-time bubble during the instantaneous quantum transition.</w:t>
      </w:r>
    </w:p>
    <w:p>
      <w:r>
        <w:t xml:space="preserve"/>
      </w:r>
    </w:p>
    <w:p>
      <w:r>
        <w:t xml:space="preserve">5.  The system of claim 1, wherein the threshold signal condition is a signal generated by the Quantum Escape Engine upon detecting that cavitation field amplitude has reached a predetermined threshold, wherein the threshold is not a predetermined revolution count but an active engine detection event.</w:t>
      </w:r>
    </w:p>
    <w:p>
      <w:r>
        <w:t xml:space="preserve"/>
      </w:r>
    </w:p>
    <w:p>
      <w:r>
        <w:rPr>
          <w:b/>
          <w:bCs/>
        </w:rPr>
        <w:t xml:space="preserve">6.  A governed lunar cargo barge system comprising:</w:t>
      </w:r>
    </w:p>
    <w:p>
      <w:r>
        <w:t xml:space="preserve">    a barge hull configured to carry standardized cargo containers on a permanent Earth-Moon circular route;</w:t>
      </w:r>
    </w:p>
    <w:p>
      <w:r>
        <w:t xml:space="preserve">    Gold Film parabolic dish arrays mounted at optimized positions on the barge hull frame, wherein each dish is a parabolic collector configured to harvest solar energy and convert it to directed propulsion;</w:t>
      </w:r>
    </w:p>
    <w:p>
      <w:r>
        <w:t xml:space="preserve">    a dish orientation governance layer integrating the Contact Hamiltonian correction law and admissible manifold boundary conditions, configured to continuously reorient the dish arrays in real time as a function of Sun position, Moon position, barge velocity vector, and local shadow geometry; and</w:t>
      </w:r>
    </w:p>
    <w:p>
      <w:r>
        <w:t xml:space="preserve">    a Legendre submanifold propulsion interface governing translation of dish angle into directional thrust vector, wherein dish orientation constitutes a propulsion vector control mechanism operating on the positive definite manifold.</w:t>
      </w:r>
    </w:p>
    <w:p>
      <w:r>
        <w:t xml:space="preserve"/>
      </w:r>
    </w:p>
    <w:p>
      <w:r>
        <w:t xml:space="preserve">7.  The system of claim 6, wherein the dish arrays reorient as a unified governed field between outbound and return legs of the Earth-Moon route, with no dedicated solar-only or lunar-only dish assignment.</w:t>
      </w:r>
    </w:p>
    <w:p>
      <w:r>
        <w:t xml:space="preserve"/>
      </w:r>
    </w:p>
    <w:p>
      <w:r>
        <w:t xml:space="preserve">8.  The system of claim 6, wherein shadow handling employs three simultaneous mechanisms: (a) governed energy buffer storage preserving harvested energy through shadow windows; (b) Lopez Quantum Turbine coherence maintenance providing propulsion through shadow periods independent of solar input; and (c) admissible manifold path selection actively routing the barge to avoid shadow zones.</w:t>
      </w:r>
    </w:p>
    <w:p>
      <w:r>
        <w:t xml:space="preserve"/>
      </w:r>
    </w:p>
    <w:p>
      <w:r>
        <w:t xml:space="preserve">9.  The system of claim 6, wherein the barge is configured to tow standardized cargo containers that are effectively massless in orbit, decoupling launch mass from transit mass, enabling continuous cycling operation with a single Lopez Quantum Turbine and Quantum Escape Engine unit per barge.</w:t>
      </w:r>
    </w:p>
    <w:p>
      <w:r>
        <w:t xml:space="preserve"/>
      </w:r>
    </w:p>
    <w:p>
      <w:r>
        <w:rPr>
          <w:b/>
          <w:bCs/>
        </w:rPr>
        <w:t xml:space="preserve">10. A method of governed Earth-Moon cargo transport comprising:</w:t>
      </w:r>
    </w:p>
    <w:p>
      <w:r>
        <w:t xml:space="preserve">    priming a quantum cavitation field through rotational revolution of a long-arm terrestrial lever accelerator, wherein MH66 constitutional hardware substrate distributed across the arm and payload actively governs the cavitation field build during each revolution;</w:t>
      </w:r>
    </w:p>
    <w:p>
      <w:r>
        <w:t xml:space="preserve">    detecting a cavitation field threshold signal condition with a Quantum Escape Engine;</w:t>
      </w:r>
    </w:p>
    <w:p>
      <w:r>
        <w:t xml:space="preserve">    simultaneously releasing the payload, locking a virtual space-time bubble, and igniting quantum cavitation stabilization, a Lopez Quantum Turbine, and the Quantum Escape Engine upon detection of the threshold signal condition;</w:t>
      </w:r>
    </w:p>
    <w:p>
      <w:r>
        <w:t xml:space="preserve">    executing a quantum leap through the locked virtual space-time bubble, bypassing gravitational decoherence entirely, governed by the Contact Hamiltonian correction law and the positive definite manifold;</w:t>
      </w:r>
    </w:p>
    <w:p>
      <w:r>
        <w:t xml:space="preserve">    deploying Gold Film parabolic dish arrays from the payload upon achieving orbit; and</w:t>
      </w:r>
    </w:p>
    <w:p>
      <w:r>
        <w:t xml:space="preserve">    operating a permanent Earth-Moon circular route under Legendre submanifold governed dish propulsion, with continuous real-time dish reorientation governed by the Contact Hamiltonian and admissible manifold boundary conditions.</w:t>
      </w:r>
    </w:p>
    <w:p>
      <w:r>
        <w:t xml:space="preserve"/>
      </w:r>
    </w:p>
    <w:p>
      <w:pPr>
        <w:pStyle w:val="Heading1"/>
      </w:pPr>
      <w:r>
        <w:rPr>
          <w:b/>
          <w:bCs/>
        </w:rPr>
        <w:t xml:space="preserve">ABSTRACT</w:t>
      </w:r>
    </w:p>
    <w:p>
      <w:r>
        <w:t xml:space="preserve">A governed terrestrial quantum launch system and permanent Earth-Moon cargo infrastructure. The Atlanta Ground Launch Lever Accelerator uses arm revolutions to prime a quantum cavitation field through MH66 constitutional hardware substrate distributed across both arm structure and payload. The cavitation field builds across revolutions via active MH66 governance and Legendre submanifold resonance with the rotational frequency of the arm. Upon detection of a cavitation field threshold signal condition by the Quantum Escape Engine, the arm simultaneously releases the payload, locks the virtual space-time bubble, and fires quantum cavitation stabilization, the Lopez Quantum Turbine, and the Quantum Escape Engine in synchrony, governed by the Contact Hamiltonian correction law. The quantum leap transitions the payload out of Earth's gravitational field instantaneously, bypassing gravitational decoherence entirely. Following orbital insertion, Gold Film parabolic dish arrays deploy and continuously reorient under a Legendre submanifold governed orientation layer, converting solar energy to directed thrust vector for permanent Earth-Moon circular route operation. The Lunar Barge System tows standardized cargo containers on this permanent Lunar Highway, with shadow handling employing governed energy buffering, Quantum Turbine coherence maintenance, and admissible manifold path selection. The entire system operates within constitutional coherence bounds governed by MH66, the Contact Hamiltonian, and the positive definite manifold at all times.</w:t>
      </w:r>
    </w:p>
    <w:p>
      <w:r>
        <w:t xml:space="preserve"/>
      </w:r>
    </w:p>
    <w:p>
      <w:pPr>
        <w:pStyle w:val="Heading1"/>
      </w:pPr>
      <w:r>
        <w:rPr>
          <w:b/>
          <w:bCs/>
        </w:rPr>
        <w:t xml:space="preserve">INVENTOR ATTESTATION</w:t>
      </w:r>
    </w:p>
    <w:p>
      <w:r>
        <w:t xml:space="preserve">I, Joshua L. Lopez, hereby attest under penalty of perjury that the foregoing accurately and completely describes inventive concepts conceived by me. The Atlanta Ground Launch Lever Accelerator, Rotational Cavitation Priming Sequence, Simultaneous Ignition Architecture, and Lunar Barge System with Gold Film Dish Array Propulsion were independently conceived by me. The AURA115 governed pipeline at cloud.aura115.ai has minted constitutional fingerprints confirming governed execution of these inventive concepts under USPTO authority #19/555,951.</w:t>
      </w:r>
    </w:p>
    <w:p>
      <w:r>
        <w:t xml:space="preserve"/>
      </w:r>
    </w:p>
    <w:p>
      <w:r>
        <w:t xml:space="preserve">Signature: ___________________________________     Date: _______________</w:t>
      </w:r>
    </w:p>
    <w:p>
      <w:r>
        <w:t xml:space="preserve">Joshua L. Lopez, Inventor</w:t>
      </w:r>
    </w:p>
    <w:p>
      <w:r>
        <w:t xml:space="preserve">Founder &amp; Chief Architect, DCGP.AI LLC</w:t>
      </w:r>
    </w:p>
    <w:p>
      <w:r>
        <w:t xml:space="preserve">Santa Rosa Beach, Florida</w:t>
      </w:r>
    </w:p>
    <w:p>
      <w:r>
        <w:t xml:space="preserve"/>
      </w:r>
    </w:p>
    <w:p>
      <w:r>
        <w:t xml:space="preserve">Witness / Counsel: ___________________________     Date: _______________</w:t>
      </w:r>
    </w:p>
    <w:p>
      <w:r>
        <w:t xml:space="preserve">Kevin Bastuba, Patent Counsel</w:t>
      </w:r>
    </w:p>
    <w:p>
      <w:r>
        <w:t xml:space="preserve"/>
      </w:r>
    </w:p>
    <w:p>
      <w:pPr>
        <w:jc w:val="center"/>
      </w:pPr>
      <w:r>
        <w:rPr>
          <w:b/>
          <w:bCs/>
        </w:rPr>
        <w:t xml:space="preserve">CONFIDENTIAL — ATTORNEY-CLIENT PRIVILEGED —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2026-07-17T07:14:09.645Z</dcterms:created>
  <dcterms:modified xsi:type="dcterms:W3CDTF">2026-07-17T07:14:09.645Z</dcterms:modified>
</cp:coreProperties>
</file>

<file path=docProps/custom.xml><?xml version="1.0" encoding="utf-8"?>
<Properties xmlns="http://schemas.openxmlformats.org/officeDocument/2006/custom-properties" xmlns:vt="http://schemas.openxmlformats.org/officeDocument/2006/docPropsVTypes"/>
</file>