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sz w:val="72"/>
          <w:szCs w:val="72"/>
        </w:rPr>
        <w:t xml:space="preserve">CLAP</w:t>
      </w:r>
    </w:p>
    <w:p>
      <w:pPr>
        <w:spacing w:after="400"/>
        <w:jc w:val="center"/>
      </w:pPr>
      <w:r>
        <w:rPr>
          <w:rFonts w:ascii="Calibri" w:cs="Calibri" w:eastAsia="Calibri" w:hAnsi="Calibri"/>
          <w:sz w:val="32"/>
          <w:szCs w:val="32"/>
        </w:rPr>
        <w:t xml:space="preserve">Controlled Ledgered Admission Protocol</w:t>
      </w:r>
    </w:p>
    <w:p>
      <w:pPr>
        <w:spacing w:after="600"/>
        <w:jc w:val="center"/>
      </w:pPr>
      <w:r>
        <w:rPr>
          <w:rFonts w:ascii="Calibri" w:cs="Calibri" w:eastAsia="Calibri" w:hAnsi="Calibri"/>
          <w:i/>
          <w:iCs/>
          <w:sz w:val="24"/>
          <w:szCs w:val="24"/>
        </w:rPr>
        <w:t xml:space="preserve">The Governing Gate Between Source and Serve</w:t>
      </w:r>
    </w:p>
    <w:p>
      <w:pPr>
        <w:spacing w:after="150"/>
        <w:jc w:val="center"/>
      </w:pPr>
      <w:r>
        <w:rPr>
          <w:rFonts w:ascii="Calibri" w:cs="Calibri" w:eastAsia="Calibri" w:hAnsi="Calibri"/>
          <w:i/>
          <w:iCs/>
          <w:sz w:val="22"/>
          <w:szCs w:val="22"/>
        </w:rPr>
        <w:t xml:space="preserve">Where there is a gap, there is a gate.</w:t>
      </w:r>
    </w:p>
    <w:p>
      <w:pPr>
        <w:spacing w:after="600"/>
      </w:pPr>
    </w:p>
    <w:p>
      <w:pPr>
        <w:spacing w:after="150"/>
        <w:jc w:val="center"/>
      </w:pPr>
      <w:r>
        <w:rPr>
          <w:rFonts w:ascii="Calibri" w:cs="Calibri" w:eastAsia="Calibri" w:hAnsi="Calibri"/>
          <w:b/>
          <w:bCs/>
          <w:sz w:val="22"/>
          <w:szCs w:val="22"/>
        </w:rPr>
        <w:t xml:space="preserve">Joshua Lopez</w:t>
      </w:r>
    </w:p>
    <w:p>
      <w:pPr>
        <w:spacing w:after="150"/>
        <w:jc w:val="center"/>
      </w:pPr>
      <w:r>
        <w:rPr>
          <w:rFonts w:ascii="Calibri" w:cs="Calibri" w:eastAsia="Calibri" w:hAnsi="Calibri"/>
          <w:sz w:val="22"/>
          <w:szCs w:val="22"/>
        </w:rPr>
        <w:t xml:space="preserve">DCGP.AI LLC</w:t>
      </w:r>
    </w:p>
    <w:p>
      <w:pPr>
        <w:spacing w:after="150"/>
        <w:jc w:val="center"/>
      </w:pPr>
      <w:r>
        <w:rPr>
          <w:rFonts w:ascii="Calibri" w:cs="Calibri" w:eastAsia="Calibri" w:hAnsi="Calibri"/>
          <w:sz w:val="22"/>
          <w:szCs w:val="22"/>
        </w:rPr>
        <w:t xml:space="preserve">USPTO Patent Applications: 19/555,951 | 19/730,900 | 19/731,016 | 19/732,119</w:t>
      </w:r>
    </w:p>
    <w:p>
      <w:pPr>
        <w:spacing w:after="150"/>
        <w:jc w:val="center"/>
      </w:pPr>
      <w:r>
        <w:rPr>
          <w:rFonts w:ascii="Calibri" w:cs="Calibri" w:eastAsia="Calibri" w:hAnsi="Calibri"/>
          <w:sz w:val="22"/>
          <w:szCs w:val="22"/>
        </w:rPr>
        <w:t xml:space="preserve">August 4, 2026</w:t>
      </w:r>
    </w:p>
    <w:p>
      <w:r>
        <w:br w:type="page"/>
      </w:r>
    </w:p>
    <w:p>
      <w:pPr>
        <w:pStyle w:val="Heading1"/>
        <w:spacing w:after="200"/>
      </w:pPr>
      <w:r>
        <w:rPr>
          <w:rFonts w:ascii="Calibri" w:cs="Calibri" w:eastAsia="Calibri" w:hAnsi="Calibri"/>
          <w:b/>
          <w:bCs/>
          <w:sz w:val="36"/>
          <w:szCs w:val="36"/>
        </w:rPr>
        <w:t xml:space="preserve">1. Abstract</w:t>
      </w:r>
    </w:p>
    <w:p>
      <w:pPr>
        <w:spacing w:after="150"/>
        <w:jc w:val="left"/>
      </w:pPr>
      <w:r>
        <w:rPr>
          <w:rFonts w:ascii="Calibri" w:cs="Calibri" w:eastAsia="Calibri" w:hAnsi="Calibri"/>
          <w:sz w:val="22"/>
          <w:szCs w:val="22"/>
        </w:rPr>
        <w:t xml:space="preserve">CLAP (Controlled Ledgered Admission Protocol) is a governed deployment gate that sits upstream of all serving directories in the AURA115 quantum-governed infrastructure platform. No file, asset, or configuration reaches the public-facing deployment layers — whether served by Apex (aura115.ai) or by the cloud spine (cloud.aura115.ai) — without first passing through the CLAP admission checkpoint.</w:t>
      </w:r>
    </w:p>
    <w:p>
      <w:pPr>
        <w:spacing w:after="150"/>
        <w:jc w:val="left"/>
      </w:pPr>
      <w:r>
        <w:rPr>
          <w:rFonts w:ascii="Calibri" w:cs="Calibri" w:eastAsia="Calibri" w:hAnsi="Calibri"/>
          <w:sz w:val="22"/>
          <w:szCs w:val="22"/>
        </w:rPr>
        <w:t xml:space="preserve">CLAP implements the bidirectional Contact Hamiltonian gate primitive (evaluateExchange / verifyAdmission) as a binary admission function: admitted or rejected. Clap on, clap off. There is no partial state, no stale content, no unauthorized deployment. The governing constant is GOV_ANGLE = π/φ = 1.941611 radians.</w:t>
      </w:r>
    </w:p>
    <w:p>
      <w:pPr>
        <w:pStyle w:val="Heading1"/>
        <w:spacing w:after="200"/>
      </w:pPr>
      <w:r>
        <w:rPr>
          <w:rFonts w:ascii="Calibri" w:cs="Calibri" w:eastAsia="Calibri" w:hAnsi="Calibri"/>
          <w:b/>
          <w:bCs/>
          <w:sz w:val="36"/>
          <w:szCs w:val="36"/>
        </w:rPr>
        <w:t xml:space="preserve">2. Problem Statement</w:t>
      </w:r>
    </w:p>
    <w:p>
      <w:pPr>
        <w:spacing w:after="150"/>
        <w:jc w:val="left"/>
      </w:pPr>
      <w:r>
        <w:rPr>
          <w:rFonts w:ascii="Calibri" w:cs="Calibri" w:eastAsia="Calibri" w:hAnsi="Calibri"/>
          <w:sz w:val="22"/>
          <w:szCs w:val="22"/>
        </w:rPr>
        <w:t xml:space="preserve">The AURA115 platform serves content through two primary domains from a single repository containing 733+ HTML paths across multiple directory trees:</w:t>
      </w:r>
    </w:p>
    <w:p>
      <w:pPr>
        <w:spacing w:after="150"/>
      </w:pPr>
      <w:r>
        <w:rPr>
          <w:rFonts w:ascii="Calibri" w:cs="Calibri" w:eastAsia="Calibri" w:hAnsi="Calibri"/>
          <w:b/>
          <w:bCs/>
          <w:sz w:val="22"/>
          <w:szCs w:val="22"/>
        </w:rPr>
        <w:t xml:space="preserve">Apex (aura115.ai) </w:t>
      </w:r>
      <w:r>
        <w:rPr>
          <w:rFonts w:ascii="Calibri" w:cs="Calibri" w:eastAsia="Calibri" w:hAnsi="Calibri"/>
          <w:sz w:val="22"/>
          <w:szCs w:val="22"/>
        </w:rPr>
        <w:t xml:space="preserve">→ serves from public/</w:t>
      </w:r>
    </w:p>
    <w:p>
      <w:pPr>
        <w:spacing w:after="150"/>
      </w:pPr>
      <w:r>
        <w:rPr>
          <w:rFonts w:ascii="Calibri" w:cs="Calibri" w:eastAsia="Calibri" w:hAnsi="Calibri"/>
          <w:b/>
          <w:bCs/>
          <w:sz w:val="22"/>
          <w:szCs w:val="22"/>
        </w:rPr>
        <w:t xml:space="preserve">Cloud (cloud.aura115.ai) </w:t>
      </w:r>
      <w:r>
        <w:rPr>
          <w:rFonts w:ascii="Calibri" w:cs="Calibri" w:eastAsia="Calibri" w:hAnsi="Calibri"/>
          <w:sz w:val="22"/>
          <w:szCs w:val="22"/>
        </w:rPr>
        <w:t xml:space="preserve">→ serves from dist/</w:t>
      </w:r>
    </w:p>
    <w:p>
      <w:pPr>
        <w:spacing w:after="150"/>
        <w:jc w:val="left"/>
      </w:pPr>
      <w:r>
        <w:rPr>
          <w:rFonts w:ascii="Calibri" w:cs="Calibri" w:eastAsia="Calibri" w:hAnsi="Calibri"/>
          <w:sz w:val="22"/>
          <w:szCs w:val="22"/>
        </w:rPr>
        <w:t xml:space="preserve">Without a governing layer between source and serve, any agent, workflow, cron job, or manual commit that modifies the repository can push content directly into either serving directory. This creates several documented failure modes:</w:t>
      </w:r>
    </w:p>
    <w:p>
      <w:pPr>
        <w:spacing w:after="150"/>
        <w:jc w:val="left"/>
      </w:pPr>
      <w:r>
        <w:rPr>
          <w:rFonts w:ascii="Calibri" w:cs="Calibri" w:eastAsia="Calibri" w:hAnsi="Calibri"/>
          <w:sz w:val="22"/>
          <w:szCs w:val="22"/>
        </w:rPr>
        <w:t xml:space="preserve">Unauthorized agent deployments reach the live spine without review. Content duplication across public/ and dist/ creates drift and missing routes. Stale or malformed content persists in serving directories after failed builds. Copilot agents, cron ticks, and manual pushes all compete for the same filesystem with no admission control.</w:t>
      </w:r>
    </w:p>
    <w:p>
      <w:pPr>
        <w:spacing w:after="150"/>
        <w:jc w:val="left"/>
      </w:pPr>
      <w:r>
        <w:rPr>
          <w:rFonts w:ascii="Calibri" w:cs="Calibri" w:eastAsia="Calibri" w:hAnsi="Calibri"/>
          <w:sz w:val="22"/>
          <w:szCs w:val="22"/>
        </w:rPr>
        <w:t xml:space="preserve">The result: 13 of 111 operator console routes return 404 on the cloud spine because content exists in public/ but was never admitted into dist/. Agent violations documented across 36+ overrides include unauthorized GitHub pushes, workflow dispatches, and attribution errors — all reaching production without governance.</w:t>
      </w:r>
    </w:p>
    <w:p>
      <w:pPr>
        <w:pStyle w:val="Heading1"/>
        <w:spacing w:after="200"/>
      </w:pPr>
      <w:r>
        <w:rPr>
          <w:rFonts w:ascii="Calibri" w:cs="Calibri" w:eastAsia="Calibri" w:hAnsi="Calibri"/>
          <w:b/>
          <w:bCs/>
          <w:sz w:val="36"/>
          <w:szCs w:val="36"/>
        </w:rPr>
        <w:t xml:space="preserve">3. Architecture</w:t>
      </w:r>
    </w:p>
    <w:p>
      <w:pPr>
        <w:pStyle w:val="Heading2"/>
        <w:spacing w:after="150" w:before="300"/>
      </w:pPr>
      <w:r>
        <w:rPr>
          <w:rFonts w:ascii="Calibri" w:cs="Calibri" w:eastAsia="Calibri" w:hAnsi="Calibri"/>
          <w:b/>
          <w:bCs/>
          <w:sz w:val="28"/>
          <w:szCs w:val="28"/>
        </w:rPr>
        <w:t xml:space="preserve">3.1 The CLAP Gate</w:t>
      </w:r>
    </w:p>
    <w:p>
      <w:pPr>
        <w:spacing w:after="150"/>
        <w:jc w:val="left"/>
      </w:pPr>
      <w:r>
        <w:rPr>
          <w:rFonts w:ascii="Calibri" w:cs="Calibri" w:eastAsia="Calibri" w:hAnsi="Calibri"/>
          <w:sz w:val="22"/>
          <w:szCs w:val="22"/>
        </w:rPr>
        <w:t xml:space="preserve">CLAP is a single checkpoint that sits upstream of both public/ and dist/. All content — whether generated by an agent, committed by a developer, or produced by a workflow — must pass through CLAP before it can reach any serving directory.</w:t>
      </w:r>
    </w:p>
    <w:p>
      <w:pPr>
        <w:spacing w:after="150"/>
        <w:jc w:val="left"/>
      </w:pPr>
      <w:r>
        <w:rPr>
          <w:rFonts w:ascii="Calibri" w:cs="Calibri" w:eastAsia="Calibri" w:hAnsi="Calibri"/>
          <w:sz w:val="22"/>
          <w:szCs w:val="22"/>
        </w:rPr>
        <w:t xml:space="preserve">The admission function is binary:</w:t>
      </w:r>
    </w:p>
    <w:p>
      <w:pPr>
        <w:spacing w:after="150"/>
      </w:pPr>
      <w:r>
        <w:rPr>
          <w:rFonts w:ascii="Calibri" w:cs="Calibri" w:eastAsia="Calibri" w:hAnsi="Calibri"/>
          <w:b/>
          <w:bCs/>
          <w:sz w:val="22"/>
          <w:szCs w:val="22"/>
        </w:rPr>
        <w:t xml:space="preserve">CLAP ON: </w:t>
      </w:r>
      <w:r>
        <w:rPr>
          <w:rFonts w:ascii="Calibri" w:cs="Calibri" w:eastAsia="Calibri" w:hAnsi="Calibri"/>
          <w:sz w:val="22"/>
          <w:szCs w:val="22"/>
        </w:rPr>
        <w:t xml:space="preserve">Content passes evaluateExchange, is hashed, sealed, and written to the target serving directory.</w:t>
      </w:r>
    </w:p>
    <w:p>
      <w:pPr>
        <w:spacing w:after="150"/>
      </w:pPr>
      <w:r>
        <w:rPr>
          <w:rFonts w:ascii="Calibri" w:cs="Calibri" w:eastAsia="Calibri" w:hAnsi="Calibri"/>
          <w:b/>
          <w:bCs/>
          <w:sz w:val="22"/>
          <w:szCs w:val="22"/>
        </w:rPr>
        <w:t xml:space="preserve">CLAP OFF: </w:t>
      </w:r>
      <w:r>
        <w:rPr>
          <w:rFonts w:ascii="Calibri" w:cs="Calibri" w:eastAsia="Calibri" w:hAnsi="Calibri"/>
          <w:sz w:val="22"/>
          <w:szCs w:val="22"/>
        </w:rPr>
        <w:t xml:space="preserve">Content fails verifyAdmission and is rejected. It does not reach any serving directory. The rejection is logged.</w:t>
      </w:r>
    </w:p>
    <w:p>
      <w:pPr>
        <w:pStyle w:val="Heading2"/>
        <w:spacing w:after="150" w:before="300"/>
      </w:pPr>
      <w:r>
        <w:rPr>
          <w:rFonts w:ascii="Calibri" w:cs="Calibri" w:eastAsia="Calibri" w:hAnsi="Calibri"/>
          <w:b/>
          <w:bCs/>
          <w:sz w:val="28"/>
          <w:szCs w:val="28"/>
        </w:rPr>
        <w:t xml:space="preserve">3.2 Flow</w:t>
      </w:r>
    </w:p>
    <w:p>
      <w:pPr>
        <w:spacing w:after="150"/>
        <w:jc w:val="left"/>
      </w:pPr>
      <w:r>
        <w:rPr>
          <w:rFonts w:ascii="Calibri" w:cs="Calibri" w:eastAsia="Calibri" w:hAnsi="Calibri"/>
          <w:sz w:val="22"/>
          <w:szCs w:val="22"/>
        </w:rPr>
        <w:t xml:space="preserve">1. Source content enters the CLAP staging area (DocGrok1/clap repository).</w:t>
      </w:r>
    </w:p>
    <w:p>
      <w:pPr>
        <w:spacing w:after="150"/>
        <w:jc w:val="left"/>
      </w:pPr>
      <w:r>
        <w:rPr>
          <w:rFonts w:ascii="Calibri" w:cs="Calibri" w:eastAsia="Calibri" w:hAnsi="Calibri"/>
          <w:sz w:val="22"/>
          <w:szCs w:val="22"/>
        </w:rPr>
        <w:t xml:space="preserve">2. CLAP runs evaluateExchange: the file is hashed (SHA-256), the content is validated against governance rules, and the admission decision is recorded.</w:t>
      </w:r>
    </w:p>
    <w:p>
      <w:pPr>
        <w:spacing w:after="150"/>
        <w:jc w:val="left"/>
      </w:pPr>
      <w:r>
        <w:rPr>
          <w:rFonts w:ascii="Calibri" w:cs="Calibri" w:eastAsia="Calibri" w:hAnsi="Calibri"/>
          <w:sz w:val="22"/>
          <w:szCs w:val="22"/>
        </w:rPr>
        <w:t xml:space="preserve">3. If admitted (CLAP ON): the file is written to public/ (for Apex serving) and/or dist/ (for cloud serving) with its proof hash. The admission event is logged to the CLAP ledger.</w:t>
      </w:r>
    </w:p>
    <w:p>
      <w:pPr>
        <w:spacing w:after="150"/>
        <w:jc w:val="left"/>
      </w:pPr>
      <w:r>
        <w:rPr>
          <w:rFonts w:ascii="Calibri" w:cs="Calibri" w:eastAsia="Calibri" w:hAnsi="Calibri"/>
          <w:sz w:val="22"/>
          <w:szCs w:val="22"/>
        </w:rPr>
        <w:t xml:space="preserve">4. If rejected (CLAP OFF): the file remains in the staging area. The rejection reason and hash are logged. No serving directory is modified.</w:t>
      </w:r>
    </w:p>
    <w:p>
      <w:pPr>
        <w:spacing w:after="150"/>
        <w:jc w:val="left"/>
      </w:pPr>
      <w:r>
        <w:rPr>
          <w:rFonts w:ascii="Calibri" w:cs="Calibri" w:eastAsia="Calibri" w:hAnsi="Calibri"/>
          <w:sz w:val="22"/>
          <w:szCs w:val="22"/>
        </w:rPr>
        <w:t xml:space="preserve">5. Container-sync and ECS deploy workflows only pull from admitted content in the serving directories, never from source or staging.</w:t>
      </w:r>
    </w:p>
    <w:p>
      <w:pPr>
        <w:pStyle w:val="Heading2"/>
        <w:spacing w:after="150" w:before="300"/>
      </w:pPr>
      <w:r>
        <w:rPr>
          <w:rFonts w:ascii="Calibri" w:cs="Calibri" w:eastAsia="Calibri" w:hAnsi="Calibri"/>
          <w:b/>
          <w:bCs/>
          <w:sz w:val="28"/>
          <w:szCs w:val="28"/>
        </w:rPr>
        <w:t xml:space="preserve">3.3 The Contact Hamiltonian Primitive</w:t>
      </w:r>
    </w:p>
    <w:p>
      <w:pPr>
        <w:spacing w:after="150"/>
        <w:jc w:val="left"/>
      </w:pPr>
      <w:r>
        <w:rPr>
          <w:rFonts w:ascii="Calibri" w:cs="Calibri" w:eastAsia="Calibri" w:hAnsi="Calibri"/>
          <w:sz w:val="22"/>
          <w:szCs w:val="22"/>
        </w:rPr>
        <w:t xml:space="preserve">CLAP implements the bidirectional Contact Hamiltonian gate — the same architectural primitive used throughout the P3^Q governed quantum framework:</w:t>
      </w:r>
    </w:p>
    <w:p>
      <w:pPr>
        <w:spacing w:after="150"/>
      </w:pPr>
      <w:r>
        <w:rPr>
          <w:rFonts w:ascii="Calibri" w:cs="Calibri" w:eastAsia="Calibri" w:hAnsi="Calibri"/>
          <w:b/>
          <w:bCs/>
          <w:sz w:val="22"/>
          <w:szCs w:val="22"/>
        </w:rPr>
        <w:t xml:space="preserve">evaluateExchange: </w:t>
      </w:r>
      <w:r>
        <w:rPr>
          <w:rFonts w:ascii="Calibri" w:cs="Calibri" w:eastAsia="Calibri" w:hAnsi="Calibri"/>
          <w:sz w:val="22"/>
          <w:szCs w:val="22"/>
        </w:rPr>
        <w:t xml:space="preserve">Examines the content, computes its hash, validates structure and governance compliance, and produces an admission decision.</w:t>
      </w:r>
    </w:p>
    <w:p>
      <w:pPr>
        <w:spacing w:after="150"/>
      </w:pPr>
      <w:r>
        <w:rPr>
          <w:rFonts w:ascii="Calibri" w:cs="Calibri" w:eastAsia="Calibri" w:hAnsi="Calibri"/>
          <w:b/>
          <w:bCs/>
          <w:sz w:val="22"/>
          <w:szCs w:val="22"/>
        </w:rPr>
        <w:t xml:space="preserve">verifyAdmission: </w:t>
      </w:r>
      <w:r>
        <w:rPr>
          <w:rFonts w:ascii="Calibri" w:cs="Calibri" w:eastAsia="Calibri" w:hAnsi="Calibri"/>
          <w:sz w:val="22"/>
          <w:szCs w:val="22"/>
        </w:rPr>
        <w:t xml:space="preserve">Confirms the content was properly admitted, the hash matches, and the proof chain is intact. Used both at admission time and as a verification gate on the serving side.</w:t>
      </w:r>
    </w:p>
    <w:p>
      <w:pPr>
        <w:spacing w:after="150"/>
        <w:jc w:val="left"/>
      </w:pPr>
      <w:r>
        <w:rPr>
          <w:rFonts w:ascii="Calibri" w:cs="Calibri" w:eastAsia="Calibri" w:hAnsi="Calibri"/>
          <w:sz w:val="22"/>
          <w:szCs w:val="22"/>
        </w:rPr>
        <w:t xml:space="preserve">The governing angle GOV_ANGLE = π/φ = 1.941611 radians is applied to the admission hash, binding every admitted file to the same governing constant that governs the quantum circuits, the cryptographic seals, and the infrastructure itself.</w:t>
      </w:r>
    </w:p>
    <w:p>
      <w:pPr>
        <w:pStyle w:val="Heading1"/>
        <w:spacing w:after="200"/>
      </w:pPr>
      <w:r>
        <w:rPr>
          <w:rFonts w:ascii="Calibri" w:cs="Calibri" w:eastAsia="Calibri" w:hAnsi="Calibri"/>
          <w:b/>
          <w:bCs/>
          <w:sz w:val="36"/>
          <w:szCs w:val="36"/>
        </w:rPr>
        <w:t xml:space="preserve">4. The CLAP Ledger</w:t>
      </w:r>
    </w:p>
    <w:p>
      <w:pPr>
        <w:spacing w:after="150"/>
        <w:jc w:val="left"/>
      </w:pPr>
      <w:r>
        <w:rPr>
          <w:rFonts w:ascii="Calibri" w:cs="Calibri" w:eastAsia="Calibri" w:hAnsi="Calibri"/>
          <w:sz w:val="22"/>
          <w:szCs w:val="22"/>
        </w:rPr>
        <w:t xml:space="preserve">Every admission decision — whether CLAP ON or CLAP OFF — is recorded in a tamper-evident ledger stored in the DocGrok1/clap repository. Each entry contains:</w:t>
      </w:r>
    </w:p>
    <w:p>
      <w:pPr>
        <w:spacing w:after="150"/>
        <w:jc w:val="left"/>
      </w:pPr>
      <w:r>
        <w:rPr>
          <w:rFonts w:ascii="Calibri" w:cs="Calibri" w:eastAsia="Calibri" w:hAnsi="Calibri"/>
          <w:sz w:val="22"/>
          <w:szCs w:val="22"/>
        </w:rPr>
        <w:t xml:space="preserve">File path and name. SHA-256 content hash. Governed hash (content hash rotated by π/φ). Admission decision (ON/OFF). Timestamp (UTC). Source (agent identity, workflow name, or commit author). Target directory (public/, dist/, or both). Rejection reason (if CLAP OFF).</w:t>
      </w:r>
    </w:p>
    <w:p>
      <w:pPr>
        <w:spacing w:after="150"/>
        <w:jc w:val="left"/>
      </w:pPr>
      <w:r>
        <w:rPr>
          <w:rFonts w:ascii="Calibri" w:cs="Calibri" w:eastAsia="Calibri" w:hAnsi="Calibri"/>
          <w:sz w:val="22"/>
          <w:szCs w:val="22"/>
        </w:rPr>
        <w:t xml:space="preserve">The ledger is append-only. Entries cannot be modified or deleted. The ledger itself is not subject to CLAP admission — it is the record of admission.</w:t>
      </w:r>
    </w:p>
    <w:p>
      <w:pPr>
        <w:pStyle w:val="Heading1"/>
        <w:spacing w:after="200"/>
      </w:pPr>
      <w:r>
        <w:rPr>
          <w:rFonts w:ascii="Calibri" w:cs="Calibri" w:eastAsia="Calibri" w:hAnsi="Calibri"/>
          <w:b/>
          <w:bCs/>
          <w:sz w:val="36"/>
          <w:szCs w:val="36"/>
        </w:rPr>
        <w:t xml:space="preserve">5. Deployment Topology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1a2e" w:color="ffffff" w:val="clear"/>
          </w:tcPr>
          <w:p>
            <w:r>
              <w:rPr>
                <w:rFonts w:ascii="Calibri" w:cs="Calibri" w:eastAsia="Calibri" w:hAnsi="Calibri"/>
                <w:b/>
                <w:bCs/>
                <w:sz w:val="20"/>
                <w:szCs w:val="20"/>
              </w:rPr>
              <w:t xml:space="preserve">Layer</w:t>
            </w:r>
          </w:p>
        </w:tc>
        <w:tc>
          <w:tcPr>
            <w:tcW w:type="dxa" w:w="4500"/>
            <w:shd w:fill="1a1a2e" w:color="ffffff" w:val="clear"/>
          </w:tcPr>
          <w:p>
            <w:r>
              <w:rPr>
                <w:rFonts w:ascii="Calibri" w:cs="Calibri" w:eastAsia="Calibri" w:hAnsi="Calibri"/>
                <w:b/>
                <w:bCs/>
                <w:sz w:val="20"/>
                <w:szCs w:val="20"/>
              </w:rPr>
              <w:t xml:space="preserve">Purpose</w:t>
            </w:r>
          </w:p>
        </w:tc>
      </w:tr>
      <w:tr>
        <w:tc>
          <w:tcPr>
            <w:tcW w:type="dxa" w:w="4500"/>
          </w:tcPr>
          <w:p>
            <w:r>
              <w:rPr>
                <w:rFonts w:ascii="Calibri" w:cs="Calibri" w:eastAsia="Calibri" w:hAnsi="Calibri"/>
                <w:b w:val="false"/>
                <w:bCs w:val="false"/>
                <w:sz w:val="20"/>
                <w:szCs w:val="20"/>
              </w:rPr>
              <w:t xml:space="preserve">DocGrok1/clap</w:t>
            </w:r>
          </w:p>
        </w:tc>
        <w:tc>
          <w:tcPr>
            <w:tcW w:type="dxa" w:w="4500"/>
          </w:tcPr>
          <w:p>
            <w:r>
              <w:rPr>
                <w:rFonts w:ascii="Calibri" w:cs="Calibri" w:eastAsia="Calibri" w:hAnsi="Calibri"/>
                <w:b w:val="false"/>
                <w:bCs w:val="false"/>
                <w:sz w:val="20"/>
                <w:szCs w:val="20"/>
              </w:rPr>
              <w:t xml:space="preserve">Staging + Ledger. All content enters here.</w:t>
            </w:r>
          </w:p>
        </w:tc>
      </w:tr>
      <w:tr>
        <w:tc>
          <w:tcPr>
            <w:tcW w:type="dxa" w:w="4500"/>
          </w:tcPr>
          <w:p>
            <w:r>
              <w:rPr>
                <w:rFonts w:ascii="Calibri" w:cs="Calibri" w:eastAsia="Calibri" w:hAnsi="Calibri"/>
                <w:b w:val="false"/>
                <w:bCs w:val="false"/>
                <w:sz w:val="20"/>
                <w:szCs w:val="20"/>
              </w:rPr>
              <w:t xml:space="preserve">public/</w:t>
            </w:r>
          </w:p>
        </w:tc>
        <w:tc>
          <w:tcPr>
            <w:tcW w:type="dxa" w:w="4500"/>
          </w:tcPr>
          <w:p>
            <w:r>
              <w:rPr>
                <w:rFonts w:ascii="Calibri" w:cs="Calibri" w:eastAsia="Calibri" w:hAnsi="Calibri"/>
                <w:b w:val="false"/>
                <w:bCs w:val="false"/>
                <w:sz w:val="20"/>
                <w:szCs w:val="20"/>
              </w:rPr>
              <w:t xml:space="preserve">Apex serving directory (aura115.ai)</w:t>
            </w:r>
          </w:p>
        </w:tc>
      </w:tr>
      <w:tr>
        <w:tc>
          <w:tcPr>
            <w:tcW w:type="dxa" w:w="4500"/>
          </w:tcPr>
          <w:p>
            <w:r>
              <w:rPr>
                <w:rFonts w:ascii="Calibri" w:cs="Calibri" w:eastAsia="Calibri" w:hAnsi="Calibri"/>
                <w:b w:val="false"/>
                <w:bCs w:val="false"/>
                <w:sz w:val="20"/>
                <w:szCs w:val="20"/>
              </w:rPr>
              <w:t xml:space="preserve">dist/</w:t>
            </w:r>
          </w:p>
        </w:tc>
        <w:tc>
          <w:tcPr>
            <w:tcW w:type="dxa" w:w="4500"/>
          </w:tcPr>
          <w:p>
            <w:r>
              <w:rPr>
                <w:rFonts w:ascii="Calibri" w:cs="Calibri" w:eastAsia="Calibri" w:hAnsi="Calibri"/>
                <w:b w:val="false"/>
                <w:bCs w:val="false"/>
                <w:sz w:val="20"/>
                <w:szCs w:val="20"/>
              </w:rPr>
              <w:t xml:space="preserve">Cloud serving directory (cloud.aura115.ai)</w:t>
            </w:r>
          </w:p>
        </w:tc>
      </w:tr>
      <w:tr>
        <w:tc>
          <w:tcPr>
            <w:tcW w:type="dxa" w:w="4500"/>
          </w:tcPr>
          <w:p>
            <w:r>
              <w:rPr>
                <w:rFonts w:ascii="Calibri" w:cs="Calibri" w:eastAsia="Calibri" w:hAnsi="Calibri"/>
                <w:b w:val="false"/>
                <w:bCs w:val="false"/>
                <w:sz w:val="20"/>
                <w:szCs w:val="20"/>
              </w:rPr>
              <w:t xml:space="preserve">Graviton (ALB)</w:t>
            </w:r>
          </w:p>
        </w:tc>
        <w:tc>
          <w:tcPr>
            <w:tcW w:type="dxa" w:w="4500"/>
          </w:tcPr>
          <w:p>
            <w:r>
              <w:rPr>
                <w:rFonts w:ascii="Calibri" w:cs="Calibri" w:eastAsia="Calibri" w:hAnsi="Calibri"/>
                <w:b w:val="false"/>
                <w:bCs w:val="false"/>
                <w:sz w:val="20"/>
                <w:szCs w:val="20"/>
              </w:rPr>
              <w:t xml:space="preserve">ARM64 container serving dist/ via cloud spine</w:t>
            </w:r>
          </w:p>
        </w:tc>
      </w:tr>
      <w:tr>
        <w:tc>
          <w:tcPr>
            <w:tcW w:type="dxa" w:w="4500"/>
          </w:tcPr>
          <w:p>
            <w:r>
              <w:rPr>
                <w:rFonts w:ascii="Calibri" w:cs="Calibri" w:eastAsia="Calibri" w:hAnsi="Calibri"/>
                <w:b w:val="false"/>
                <w:bCs w:val="false"/>
                <w:sz w:val="20"/>
                <w:szCs w:val="20"/>
              </w:rPr>
              <w:t xml:space="preserve">Vercel</w:t>
            </w:r>
          </w:p>
        </w:tc>
        <w:tc>
          <w:tcPr>
            <w:tcW w:type="dxa" w:w="4500"/>
          </w:tcPr>
          <w:p>
            <w:r>
              <w:rPr>
                <w:rFonts w:ascii="Calibri" w:cs="Calibri" w:eastAsia="Calibri" w:hAnsi="Calibri"/>
                <w:b w:val="false"/>
                <w:bCs w:val="false"/>
                <w:sz w:val="20"/>
                <w:szCs w:val="20"/>
              </w:rPr>
              <w:t xml:space="preserve">Web deployment serving public/ via Apex</w:t>
            </w:r>
          </w:p>
        </w:tc>
      </w:tr>
    </w:tbl>
    <w:p>
      <w:pPr>
        <w:spacing w:after="200"/>
      </w:pPr>
    </w:p>
    <w:p>
      <w:pPr>
        <w:spacing w:after="150"/>
        <w:jc w:val="left"/>
      </w:pPr>
      <w:r>
        <w:rPr>
          <w:rFonts w:ascii="Calibri" w:cs="Calibri" w:eastAsia="Calibri" w:hAnsi="Calibri"/>
          <w:sz w:val="22"/>
          <w:szCs w:val="22"/>
        </w:rPr>
        <w:t xml:space="preserve">The CLAP repository (DocGrok1/clap) is the only entry point. The serving directories are output-only. No workflow, agent, or commit may write directly to public/ or dist/ — all writes route through CLAP.</w:t>
      </w:r>
    </w:p>
    <w:p>
      <w:pPr>
        <w:pStyle w:val="Heading1"/>
        <w:spacing w:after="200"/>
      </w:pPr>
      <w:r>
        <w:rPr>
          <w:rFonts w:ascii="Calibri" w:cs="Calibri" w:eastAsia="Calibri" w:hAnsi="Calibri"/>
          <w:b/>
          <w:bCs/>
          <w:sz w:val="36"/>
          <w:szCs w:val="36"/>
        </w:rPr>
        <w:t xml:space="preserve">6. Agent Governance</w:t>
      </w:r>
    </w:p>
    <w:p>
      <w:pPr>
        <w:spacing w:after="150"/>
        <w:jc w:val="left"/>
      </w:pPr>
      <w:r>
        <w:rPr>
          <w:rFonts w:ascii="Calibri" w:cs="Calibri" w:eastAsia="Calibri" w:hAnsi="Calibri"/>
          <w:sz w:val="22"/>
          <w:szCs w:val="22"/>
        </w:rPr>
        <w:t xml:space="preserve">CLAP resolves the documented agent violation pattern. Under the current architecture, agents can push directly to public/ or dist/ within the Aura115 repository. Under CLAP:</w:t>
      </w:r>
    </w:p>
    <w:p>
      <w:pPr>
        <w:spacing w:after="150"/>
        <w:jc w:val="left"/>
      </w:pPr>
      <w:r>
        <w:rPr>
          <w:rFonts w:ascii="Calibri" w:cs="Calibri" w:eastAsia="Calibri" w:hAnsi="Calibri"/>
          <w:sz w:val="22"/>
          <w:szCs w:val="22"/>
        </w:rPr>
        <w:t xml:space="preserve">Agents commit to the CLAP staging area in DocGrok1/clap. The CLAP workflow evaluates the commit. If admitted, the content is deployed to the appropriate serving directory. If rejected, the agent's commit remains in staging and the rejection is logged. No agent can bypass CLAP to reach production.</w:t>
      </w:r>
    </w:p>
    <w:p>
      <w:pPr>
        <w:spacing w:after="150"/>
        <w:jc w:val="left"/>
      </w:pPr>
      <w:r>
        <w:rPr>
          <w:rFonts w:ascii="Calibri" w:cs="Calibri" w:eastAsia="Calibri" w:hAnsi="Calibri"/>
          <w:sz w:val="22"/>
          <w:szCs w:val="22"/>
        </w:rPr>
        <w:t xml:space="preserve">This is not a review process — it is a gate. Binary. Automatic. Governed by π/φ. The same constant that governs the quantum circuits governs what reaches your screen.</w:t>
      </w:r>
    </w:p>
    <w:p>
      <w:pPr>
        <w:pStyle w:val="Heading1"/>
        <w:spacing w:after="200"/>
      </w:pPr>
      <w:r>
        <w:rPr>
          <w:rFonts w:ascii="Calibri" w:cs="Calibri" w:eastAsia="Calibri" w:hAnsi="Calibri"/>
          <w:b/>
          <w:bCs/>
          <w:sz w:val="36"/>
          <w:szCs w:val="36"/>
        </w:rPr>
        <w:t xml:space="preserve">7. The Name</w:t>
      </w:r>
    </w:p>
    <w:p>
      <w:pPr>
        <w:spacing w:after="150"/>
        <w:jc w:val="left"/>
      </w:pPr>
      <w:r>
        <w:rPr>
          <w:rFonts w:ascii="Calibri" w:cs="Calibri" w:eastAsia="Calibri" w:hAnsi="Calibri"/>
          <w:sz w:val="22"/>
          <w:szCs w:val="22"/>
        </w:rPr>
        <w:t xml:space="preserve">CLAP: Controlled Ledgered Admission Protocol.</w:t>
      </w:r>
    </w:p>
    <w:p>
      <w:pPr>
        <w:spacing w:after="150"/>
        <w:jc w:val="left"/>
      </w:pPr>
      <w:r>
        <w:rPr>
          <w:rFonts w:ascii="Calibri" w:cs="Calibri" w:eastAsia="Calibri" w:hAnsi="Calibri"/>
          <w:sz w:val="22"/>
          <w:szCs w:val="22"/>
        </w:rPr>
        <w:t xml:space="preserve">Clap on. Clap off. Binary admission. The simplest expression of a governing gate. Content is either admitted to production or it is not. There is no intermediate state, no partial deployment, no "almost live." The gap between source and serve is the gate. The gate is CLAP.</w:t>
      </w:r>
    </w:p>
    <w:p>
      <w:pPr>
        <w:pStyle w:val="Heading1"/>
        <w:spacing w:after="200"/>
      </w:pPr>
      <w:r>
        <w:rPr>
          <w:rFonts w:ascii="Calibri" w:cs="Calibri" w:eastAsia="Calibri" w:hAnsi="Calibri"/>
          <w:b/>
          <w:bCs/>
          <w:sz w:val="36"/>
          <w:szCs w:val="36"/>
        </w:rPr>
        <w:t xml:space="preserve">8. Relationship to P3^Q</w:t>
      </w:r>
    </w:p>
    <w:p>
      <w:pPr>
        <w:spacing w:after="150"/>
        <w:jc w:val="left"/>
      </w:pPr>
      <w:r>
        <w:rPr>
          <w:rFonts w:ascii="Calibri" w:cs="Calibri" w:eastAsia="Calibri" w:hAnsi="Calibri"/>
          <w:sz w:val="22"/>
          <w:szCs w:val="22"/>
        </w:rPr>
        <w:t xml:space="preserve">CLAP is the infrastructure-layer expression of the same governing principle that operates at the quantum-circuit layer in P3^Q. The P3^Q framework applies GOV_ANGLE = π/φ to quantum gate rotations, producing measurable structure where ungoverned circuits produce noise. CLAP applies the same constant to deployment admission, producing governed infrastructure where ungoverned deployment produces drift, duplication, and failure.</w:t>
      </w:r>
    </w:p>
    <w:p>
      <w:pPr>
        <w:spacing w:after="150"/>
        <w:jc w:val="left"/>
      </w:pPr>
      <w:r>
        <w:rPr>
          <w:rFonts w:ascii="Calibri" w:cs="Calibri" w:eastAsia="Calibri" w:hAnsi="Calibri"/>
          <w:sz w:val="22"/>
          <w:szCs w:val="22"/>
        </w:rPr>
        <w:t xml:space="preserve">The K5 complete graph challenge demonstrated that P3^Q governance produces a measurable arc (peak M = 0.572 at h ≈ 0.37) where an ungoverned formula produces flat noise (avg M = 0.4983). CLAP is the same principle applied to files instead of qubits: governed admission produces structure; ungoverned deployment produces noise.</w:t>
      </w:r>
    </w:p>
    <w:p>
      <w:r>
        <w:br w:type="page"/>
      </w:r>
    </w:p>
    <w:p>
      <w:pPr>
        <w:pStyle w:val="Heading1"/>
        <w:spacing w:after="200"/>
      </w:pPr>
      <w:r>
        <w:rPr>
          <w:rFonts w:ascii="Calibri" w:cs="Calibri" w:eastAsia="Calibri" w:hAnsi="Calibri"/>
          <w:b/>
          <w:bCs/>
          <w:sz w:val="36"/>
          <w:szCs w:val="36"/>
        </w:rPr>
        <w:t xml:space="preserve">9. Repository</w:t>
      </w:r>
    </w:p>
    <w:p>
      <w:pPr>
        <w:spacing w:after="150"/>
        <w:jc w:val="left"/>
      </w:pPr>
      <w:r>
        <w:rPr>
          <w:rFonts w:ascii="Calibri" w:cs="Calibri" w:eastAsia="Calibri" w:hAnsi="Calibri"/>
          <w:sz w:val="22"/>
          <w:szCs w:val="22"/>
        </w:rPr>
        <w:t xml:space="preserve">https://github.com/DocGrok1/clap</w:t>
      </w:r>
    </w:p>
    <w:p>
      <w:pPr>
        <w:spacing w:after="400"/>
      </w:pPr>
    </w:p>
    <w:p>
      <w:pPr>
        <w:spacing w:after="150"/>
        <w:jc w:val="left"/>
      </w:pPr>
      <w:r>
        <w:rPr>
          <w:rFonts w:ascii="Calibri" w:cs="Calibri" w:eastAsia="Calibri" w:hAnsi="Calibri"/>
          <w:sz w:val="22"/>
          <w:szCs w:val="22"/>
        </w:rPr>
        <w:t xml:space="preserve">© 2026 Joshua Lopez / DCGP.AI LLC. All rights reserved.</w:t>
      </w:r>
    </w:p>
    <w:p>
      <w:pPr>
        <w:spacing w:after="150"/>
        <w:jc w:val="left"/>
      </w:pPr>
      <w:r>
        <w:rPr>
          <w:rFonts w:ascii="Calibri" w:cs="Calibri" w:eastAsia="Calibri" w:hAnsi="Calibri"/>
          <w:sz w:val="22"/>
          <w:szCs w:val="22"/>
        </w:rPr>
        <w:t xml:space="preserve">USPTO Patent Applications: 19/555,951 | 19/730,900 | 19/731,016 | 19/732,119</w:t>
      </w:r>
    </w:p>
    <w:p>
      <w:pPr>
        <w:spacing w:after="150"/>
        <w:jc w:val="left"/>
      </w:pPr>
      <w:r>
        <w:rPr>
          <w:rFonts w:ascii="Calibri" w:cs="Calibri" w:eastAsia="Calibri" w:hAnsi="Calibri"/>
          <w:sz w:val="22"/>
          <w:szCs w:val="22"/>
        </w:rPr>
        <w:t xml:space="preserve">Customer Numbers: 226575 | 222625</w:t>
      </w:r>
    </w:p>
    <w:p>
      <w:pPr>
        <w:spacing w:after="400"/>
      </w:pPr>
    </w:p>
    <w:p>
      <w:pPr>
        <w:spacing w:after="150"/>
        <w:jc w:val="left"/>
      </w:pPr>
      <w:r>
        <w:rPr>
          <w:rFonts w:ascii="Calibri" w:cs="Calibri" w:eastAsia="Calibri" w:hAnsi="Calibri"/>
          <w:i/>
          <w:iCs/>
          <w:sz w:val="22"/>
          <w:szCs w:val="22"/>
        </w:rPr>
        <w:t xml:space="preserve">Where there is a gap, there is a gate.</w:t>
      </w:r>
    </w:p>
    <w:p>
      <w:pPr>
        <w:spacing w:after="150"/>
        <w:jc w:val="left"/>
      </w:pPr>
      <w:r>
        <w:rPr>
          <w:rFonts w:ascii="Calibri" w:cs="Calibri" w:eastAsia="Calibri" w:hAnsi="Calibri"/>
          <w:b/>
          <w:bCs/>
          <w:sz w:val="22"/>
          <w:szCs w:val="22"/>
        </w:rPr>
        <w:t xml:space="preserve">DCGP introduces AGI. AURA Governed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2026-08-04T09:46:34.535Z</dcterms:created>
  <dcterms:modified xsi:type="dcterms:W3CDTF">2026-08-04T09:46:34.556Z</dcterms:modified>
</cp:coreProperties>
</file>

<file path=docProps/custom.xml><?xml version="1.0" encoding="utf-8"?>
<Properties xmlns="http://schemas.openxmlformats.org/officeDocument/2006/custom-properties" xmlns:vt="http://schemas.openxmlformats.org/officeDocument/2006/docPropsVTypes"/>
</file>