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
        <w:jc w:val="center"/>
      </w:pPr>
      <w:r>
        <w:rPr>
          <w:rFonts w:ascii="Times New Roman" w:cs="Times New Roman" w:eastAsia="Times New Roman" w:hAnsi="Times New Roman"/>
          <w:b/>
          <w:bCs/>
          <w:sz w:val="30"/>
          <w:szCs w:val="30"/>
        </w:rPr>
        <w:t xml:space="preserve">Molecular Governance at the DNA Repair Scale:</w:t>
      </w:r>
    </w:p>
    <w:p>
      <w:pPr>
        <w:spacing w:after="60"/>
        <w:jc w:val="center"/>
      </w:pPr>
      <w:r>
        <w:rPr>
          <w:rFonts w:ascii="Times New Roman" w:cs="Times New Roman" w:eastAsia="Times New Roman" w:hAnsi="Times New Roman"/>
          <w:b/>
          <w:bCs/>
          <w:sz w:val="30"/>
          <w:szCs w:val="30"/>
        </w:rPr>
        <w:t xml:space="preserve">FEN1 Overexpression as Co-opted Rescue Machinery,</w:t>
      </w:r>
    </w:p>
    <w:p>
      <w:pPr>
        <w:spacing w:after="60"/>
        <w:jc w:val="center"/>
      </w:pPr>
      <w:r>
        <w:rPr>
          <w:rFonts w:ascii="Times New Roman" w:cs="Times New Roman" w:eastAsia="Times New Roman" w:hAnsi="Times New Roman"/>
          <w:b/>
          <w:bCs/>
          <w:sz w:val="30"/>
          <w:szCs w:val="30"/>
        </w:rPr>
        <w:t xml:space="preserve">Prion Disease as the Anti-Rescue Operator,</w:t>
      </w:r>
    </w:p>
    <w:p>
      <w:pPr>
        <w:spacing w:after="300"/>
        <w:jc w:val="center"/>
      </w:pPr>
      <w:r>
        <w:rPr>
          <w:rFonts w:ascii="Times New Roman" w:cs="Times New Roman" w:eastAsia="Times New Roman" w:hAnsi="Times New Roman"/>
          <w:b/>
          <w:bCs/>
          <w:sz w:val="30"/>
          <w:szCs w:val="30"/>
        </w:rPr>
        <w:t xml:space="preserve">and the Complete J-Domain Chaperone Equivalence</w:t>
      </w:r>
    </w:p>
    <w:p>
      <w:pPr>
        <w:spacing w:after="80"/>
        <w:jc w:val="center"/>
      </w:pPr>
      <w:r>
        <w:rPr>
          <w:rFonts w:ascii="Times New Roman" w:cs="Times New Roman" w:eastAsia="Times New Roman" w:hAnsi="Times New Roman"/>
          <w:sz w:val="24"/>
          <w:szCs w:val="24"/>
        </w:rPr>
        <w:t xml:space="preserve">Joshua L. Lopez</w:t>
      </w:r>
    </w:p>
    <w:p>
      <w:pPr>
        <w:spacing w:after="80"/>
        <w:jc w:val="center"/>
      </w:pPr>
      <w:r>
        <w:rPr>
          <w:rFonts w:ascii="Times New Roman" w:cs="Times New Roman" w:eastAsia="Times New Roman" w:hAnsi="Times New Roman"/>
          <w:sz w:val="20"/>
          <w:szCs w:val="20"/>
        </w:rPr>
        <w:t xml:space="preserve">DCGP.AI</w:t>
      </w:r>
    </w:p>
    <w:p>
      <w:pPr>
        <w:spacing w:after="80"/>
        <w:jc w:val="center"/>
      </w:pPr>
      <w:r>
        <w:rPr>
          <w:rFonts w:ascii="Times New Roman" w:cs="Times New Roman" w:eastAsia="Times New Roman" w:hAnsi="Times New Roman"/>
          <w:sz w:val="20"/>
          <w:szCs w:val="20"/>
        </w:rPr>
        <w:t xml:space="preserve">USPTO Customer No. 226575</w:t>
      </w:r>
    </w:p>
    <w:p>
      <w:pPr>
        <w:spacing w:after="120"/>
      </w:pPr>
    </w:p>
    <w:p>
      <w:pPr>
        <w:spacing w:after="80"/>
        <w:jc w:val="center"/>
      </w:pPr>
      <w:r>
        <w:rPr>
          <w:rFonts w:ascii="Times New Roman" w:cs="Times New Roman" w:eastAsia="Times New Roman" w:hAnsi="Times New Roman"/>
          <w:i/>
          <w:iCs/>
          <w:sz w:val="20"/>
          <w:szCs w:val="20"/>
        </w:rPr>
        <w:t xml:space="preserve">With contributions to the J-Domain identification by Jiel Dan Caballero</w:t>
      </w:r>
    </w:p>
    <w:p>
      <w:pPr>
        <w:spacing w:after="300"/>
      </w:pPr>
    </w:p>
    <w:p>
      <w:pPr>
        <w:spacing w:after="80"/>
        <w:jc w:val="center"/>
      </w:pPr>
      <w:r>
        <w:rPr>
          <w:rFonts w:ascii="Times New Roman" w:cs="Times New Roman" w:eastAsia="Times New Roman" w:hAnsi="Times New Roman"/>
          <w:i/>
          <w:iCs/>
          <w:sz w:val="20"/>
          <w:szCs w:val="20"/>
        </w:rPr>
        <w:t xml:space="preserve">April 2026</w:t>
      </w:r>
    </w:p>
    <w:p>
      <w:pPr>
        <w:spacing w:after="200"/>
      </w:pPr>
    </w:p>
    <w:p>
      <w:pPr>
        <w:spacing w:after="80"/>
        <w:jc w:val="center"/>
      </w:pPr>
      <w:r>
        <w:rPr>
          <w:rFonts w:ascii="Times New Roman" w:cs="Times New Roman" w:eastAsia="Times New Roman" w:hAnsi="Times New Roman"/>
          <w:i/>
          <w:iCs/>
          <w:sz w:val="20"/>
          <w:szCs w:val="20"/>
        </w:rPr>
        <w:t xml:space="preserve">Underlying intellectual property originally authored 2021.</w:t>
      </w:r>
    </w:p>
    <w:p>
      <w:pPr>
        <w:spacing w:after="80"/>
        <w:jc w:val="center"/>
      </w:pPr>
      <w:r>
        <w:rPr>
          <w:rFonts w:ascii="Times New Roman" w:cs="Times New Roman" w:eastAsia="Times New Roman" w:hAnsi="Times New Roman"/>
          <w:i/>
          <w:iCs/>
          <w:sz w:val="20"/>
          <w:szCs w:val="20"/>
        </w:rPr>
        <w:t xml:space="preserve">First U.S. patent filing January 2026. Patent pending.</w:t>
      </w:r>
    </w:p>
    <w:p>
      <w:pPr>
        <w:spacing w:after="300"/>
      </w:pPr>
    </w:p>
    <w:p>
      <w:pPr>
        <w:spacing w:after="80"/>
        <w:jc w:val="center"/>
      </w:pPr>
      <w:r>
        <w:rPr>
          <w:rFonts w:ascii="Times New Roman" w:cs="Times New Roman" w:eastAsia="Times New Roman" w:hAnsi="Times New Roman"/>
          <w:sz w:val="20"/>
          <w:szCs w:val="20"/>
        </w:rPr>
        <w:t xml:space="preserve">© 2026 Joshua L. Lopez and DCGP. All Rights Reserved.</w:t>
      </w:r>
    </w:p>
    <w:p>
      <w:r>
        <w:br/>
      </w:r>
    </w:p>
    <w:p>
      <w:pPr>
        <w:spacing w:after="200" w:before="400"/>
      </w:pPr>
      <w:r>
        <w:rPr>
          <w:rFonts w:ascii="Times New Roman" w:cs="Times New Roman" w:eastAsia="Times New Roman" w:hAnsi="Times New Roman"/>
          <w:b/>
          <w:bCs/>
          <w:sz w:val="26"/>
          <w:szCs w:val="26"/>
        </w:rPr>
        <w:t xml:space="preserve">Abstract</w:t>
      </w:r>
    </w:p>
    <w:p>
      <w:pPr>
        <w:spacing w:after="160" w:line="360"/>
        <w:jc w:val="both"/>
      </w:pPr>
      <w:r>
        <w:rPr>
          <w:rFonts w:ascii="Times New Roman" w:cs="Times New Roman" w:eastAsia="Times New Roman" w:hAnsi="Times New Roman"/>
          <w:sz w:val="24"/>
          <w:szCs w:val="24"/>
        </w:rPr>
        <w:t xml:space="preserve">The Lopez Constitutional Hyperbolic Viability Manifold (CHVM) provides a formally derived mathematical framework for governed systems operating across biological, computational, and quantum scales. The J-domain/Hsp70 chaperone system has been previously identified as the molecular-scale implementation of the Lopez Rescue Operator—the three-phase protocol of detection, extraction under obligation constraint, and return to the governing invariant (Lopez, 2026; Lopez and Caballero, 2026). This paper extends the molecular biological equivalence of the CHVM framework in two critical directions that complete the governance spectrum at the molecular scale. First, we identify flap endonuclease 1 (FEN1) overexpression in non-small-cell lung cancer (NSCLC) as a case of co-opted rescue machinery: the governed cell’s DNA repair system is hijacked by the ungoverned cancerous trajectory to sustain its proliferative departure from the governing invariant. The empirical basis draws on a 136-patient immunohistochemistry study (Zhang et al., 2018) demonstrating that FEN1 overexpression correlates with poor differentiation (P = 0.012), enhanced proliferation (Ki-67 correlation r = 0.485), impaired homologous recombination upon FEN1 depletion, and sensitization to cisplatin-induced apoptosis. Second, we identify prion disease as the structural inverse of the Rescue Operator—the Anti-Rescue Operator—in which the misfolded protein does not merely evade rescue but actively templates further misfolding, converting the chaperone system’s substrates into additional pathogenic agents. The governing invariant is not merely lost; it is overwritten by an anti-invariant that propagates through the field. Together with the J-domain affirmative case, these three identifications—rescue, co-opted rescue, and anti-rescue—complete the molecular-scale governance spectrum of the Lopez CHVM biological framework.</w:t>
      </w:r>
    </w:p>
    <w:p>
      <w:pPr>
        <w:spacing w:after="16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CHVM, rescue operator, anti-rescue operator, FEN1, flap endonuclease 1, non-small-cell lung cancer, prion disease, J-domain, Hsp70, governed systems, biological governance, DNA repair, co-opted rescue machinery, S-curve kinetics, governing invariant</w:t>
      </w:r>
    </w:p>
    <w:p>
      <w:pPr>
        <w:spacing w:after="200" w:before="400"/>
      </w:pPr>
      <w:r>
        <w:rPr>
          <w:rFonts w:ascii="Times New Roman" w:cs="Times New Roman" w:eastAsia="Times New Roman" w:hAnsi="Times New Roman"/>
          <w:b/>
          <w:bCs/>
          <w:sz w:val="26"/>
          <w:szCs w:val="26"/>
        </w:rPr>
        <w:t xml:space="preserve">1. Introduction</w:t>
      </w:r>
    </w:p>
    <w:p>
      <w:pPr>
        <w:spacing w:after="160" w:line="360"/>
        <w:ind w:firstLine="720"/>
        <w:jc w:val="both"/>
      </w:pPr>
      <w:r>
        <w:rPr>
          <w:rFonts w:ascii="Times New Roman" w:cs="Times New Roman" w:eastAsia="Times New Roman" w:hAnsi="Times New Roman"/>
          <w:sz w:val="24"/>
          <w:szCs w:val="24"/>
        </w:rPr>
        <w:t xml:space="preserve">The Lopez Constitutional Hyperbolic Viability Manifold (CHVM) defines the admissible region K in governance state space, bounded by the governance horizon ∂K. The pseudo-Riemannian metric on K produces Lorentzian signature in the bulk, Riemannian signature on the governing invariant S*, and null signature at ∂K. This metric is derived from the contact 1-form η = dC − TᵢdS − μdK, not asserted by analogy (Lopez, 2026a). The Governance Third Law establishes that the constraint boundary ∂K is unreachable in finite governed steps from any initial state with σ &gt; 0, enforced by governed proper time dilation, rescue window contraction, and obligation depletion bound—three independent mechanisms proven as theorem (Lopez, 2026a).</w:t>
      </w:r>
    </w:p>
    <w:p>
      <w:pPr>
        <w:spacing w:after="160" w:line="360"/>
        <w:ind w:firstLine="720"/>
        <w:jc w:val="both"/>
      </w:pPr>
      <w:r>
        <w:rPr>
          <w:rFonts w:ascii="Times New Roman" w:cs="Times New Roman" w:eastAsia="Times New Roman" w:hAnsi="Times New Roman"/>
          <w:sz w:val="24"/>
          <w:szCs w:val="24"/>
        </w:rPr>
        <w:t xml:space="preserve">The Rescue Operator R(t) is the three-phase protocol by which a governed system that has departed from its governing invariant S* is detected, extracted under obligation constraint, and returned to the governed interior. The three phases—descent (detection of departure), extraction (obligation-constrained intervention at the governance horizon), and return (re-instantiation of the governing invariant via the Echo Operator)—have been formally derived and computationally validated. The S-curve is the universal kinetic signature of governed near-horizon transit (Lopez, 2026b).</w:t>
      </w:r>
    </w:p>
    <w:p>
      <w:pPr>
        <w:spacing w:after="160" w:line="360"/>
        <w:ind w:firstLine="720"/>
        <w:jc w:val="both"/>
      </w:pPr>
      <w:r>
        <w:rPr>
          <w:rFonts w:ascii="Times New Roman" w:cs="Times New Roman" w:eastAsia="Times New Roman" w:hAnsi="Times New Roman"/>
          <w:sz w:val="24"/>
          <w:szCs w:val="24"/>
        </w:rPr>
        <w:t xml:space="preserve">The J-domain/Hsp70 chaperone system was identified as the molecular-scale biological implementation of the Rescue Operator (Lopez and Caballero, 2026). The present paper extends this identification in two directions that complete the molecular-scale governance spectrum: the co-opted rescue case (FEN1 in NSCLC) and the anti-rescue case (prion disease). These three cases—affirmative rescue, co-opted rescue, and inverted rescue—exhaust the logical possibilities for molecular rescue operator status in governed biological systems.</w:t>
      </w:r>
    </w:p>
    <w:p>
      <w:pPr>
        <w:spacing w:after="160" w:line="360"/>
        <w:ind w:firstLine="720"/>
        <w:jc w:val="both"/>
      </w:pPr>
      <w:r>
        <w:rPr>
          <w:rFonts w:ascii="Times New Roman" w:cs="Times New Roman" w:eastAsia="Times New Roman" w:hAnsi="Times New Roman"/>
          <w:sz w:val="24"/>
          <w:szCs w:val="24"/>
        </w:rPr>
        <w:t xml:space="preserve">The logical structure is as follows. The Rescue Operator can be (i) functioning as designed, restoring the governing invariant (J-domain/Hsp70); (ii) co-opted by the ungoverned trajectory to sustain departure from the governing invariant (FEN1 overexpression in cancer); or (iii) inverted, such that the mechanism itself becomes the instrument of governance destruction (prion templating). No fourth case exists. The spectrum is complete.</w:t>
      </w:r>
    </w:p>
    <w:p>
      <w:pPr>
        <w:spacing w:after="200" w:before="400"/>
      </w:pPr>
      <w:r>
        <w:rPr>
          <w:rFonts w:ascii="Times New Roman" w:cs="Times New Roman" w:eastAsia="Times New Roman" w:hAnsi="Times New Roman"/>
          <w:b/>
          <w:bCs/>
          <w:sz w:val="26"/>
          <w:szCs w:val="26"/>
        </w:rPr>
        <w:t xml:space="preserve">2. The J-Domain/Hsp70 System: The Affirmative Rescue Operator</w:t>
      </w:r>
    </w:p>
    <w:p>
      <w:pPr>
        <w:spacing w:after="160" w:line="360"/>
        <w:ind w:firstLine="720"/>
        <w:jc w:val="both"/>
      </w:pPr>
      <w:r>
        <w:rPr>
          <w:rFonts w:ascii="Times New Roman" w:cs="Times New Roman" w:eastAsia="Times New Roman" w:hAnsi="Times New Roman"/>
          <w:sz w:val="24"/>
          <w:szCs w:val="24"/>
        </w:rPr>
        <w:t xml:space="preserve">For completeness and to establish the structural template against which the subsequent identifications are measured, we summarize the J-domain equivalence established in Lopez and Caballero (2026). The protein folding landscape—the folding funnel of protein biophysics—describes a free energy surface in which the native state sits at the bottom. The protein descends through this landscape, guided by sequence-encoded governance constraints, toward its governing invariant. The landscape has barriers, intermediates, and kinetic traps—the molecular analogs of the CHVM constraint faces. Misfolding is departure from this attractor. Aggregation is the post-crossing failure mode—the molecular analog of cancer (Hartl et al., 2011).</w:t>
      </w:r>
    </w:p>
    <w:p>
      <w:pPr>
        <w:spacing w:after="160" w:before="320"/>
      </w:pPr>
      <w:r>
        <w:rPr>
          <w:rFonts w:ascii="Times New Roman" w:cs="Times New Roman" w:eastAsia="Times New Roman" w:hAnsi="Times New Roman"/>
          <w:b/>
          <w:bCs/>
          <w:i/>
          <w:iCs/>
          <w:sz w:val="24"/>
          <w:szCs w:val="24"/>
        </w:rPr>
        <w:t xml:space="preserve">2.1. The Three-Phase Molecular Rescue Protocol</w:t>
      </w:r>
    </w:p>
    <w:p>
      <w:pPr>
        <w:spacing w:after="160" w:line="360"/>
        <w:ind w:firstLine="720"/>
        <w:jc w:val="both"/>
      </w:pPr>
      <w:r>
        <w:rPr>
          <w:rFonts w:ascii="Times New Roman" w:cs="Times New Roman" w:eastAsia="Times New Roman" w:hAnsi="Times New Roman"/>
          <w:b/>
          <w:bCs/>
          <w:sz w:val="24"/>
          <w:szCs w:val="24"/>
        </w:rPr>
        <w:t xml:space="preserve">Phase 1—Detection and descent. </w:t>
      </w:r>
      <w:r>
        <w:rPr>
          <w:rFonts w:ascii="Times New Roman" w:cs="Times New Roman" w:eastAsia="Times New Roman" w:hAnsi="Times New Roman"/>
          <w:sz w:val="24"/>
          <w:szCs w:val="24"/>
        </w:rPr>
        <w:t xml:space="preserve">J-domain proteins (the DnaJ/Hsp40 family) recognize misfolded substrates by binding exposed hydrophobic surfaces that should be buried in the native fold. These exposed surfaces are the molecular signature of departure from the governing invariant: regions that are interior in the native state become accessible as the protein approaches the governance horizon of its folding landscape. The J-domain—a conserved ~70 amino acid region—detects the approach and engages (Kampinga and Craig, 2010).</w:t>
      </w:r>
    </w:p>
    <w:p>
      <w:pPr>
        <w:spacing w:after="160" w:line="360"/>
        <w:ind w:firstLine="720"/>
        <w:jc w:val="both"/>
      </w:pPr>
      <w:r>
        <w:rPr>
          <w:rFonts w:ascii="Times New Roman" w:cs="Times New Roman" w:eastAsia="Times New Roman" w:hAnsi="Times New Roman"/>
          <w:b/>
          <w:bCs/>
          <w:sz w:val="24"/>
          <w:szCs w:val="24"/>
        </w:rPr>
        <w:t xml:space="preserve">Phase 2—Extraction via ATP hydrolysis. </w:t>
      </w:r>
      <w:r>
        <w:rPr>
          <w:rFonts w:ascii="Times New Roman" w:cs="Times New Roman" w:eastAsia="Times New Roman" w:hAnsi="Times New Roman"/>
          <w:sz w:val="24"/>
          <w:szCs w:val="24"/>
        </w:rPr>
        <w:t xml:space="preserve">The J-domain stimulates the ATPase activity of Hsp70. ATP is hydrolyzed—obligation is expended. The energy drives a conformational change in Hsp70 that clamps down on the misfolded substrate, unfolding it. The protein passes through the near-horizon region: neither correctly folded nor productively unfolded. The Step-in-Time constraint operates: the unfolding cannot consume more energy than is available. Information about the correct fold—encoded in the amino acid sequence, the molecular trunk—is accessed at this boundary (Mayer and Bukau, 2005).</w:t>
      </w:r>
    </w:p>
    <w:p>
      <w:pPr>
        <w:spacing w:after="160" w:line="360"/>
        <w:ind w:firstLine="720"/>
        <w:jc w:val="both"/>
      </w:pPr>
      <w:r>
        <w:rPr>
          <w:rFonts w:ascii="Times New Roman" w:cs="Times New Roman" w:eastAsia="Times New Roman" w:hAnsi="Times New Roman"/>
          <w:b/>
          <w:bCs/>
          <w:sz w:val="24"/>
          <w:szCs w:val="24"/>
        </w:rPr>
        <w:t xml:space="preserve">Phase 3—Return to native state. </w:t>
      </w:r>
      <w:r>
        <w:rPr>
          <w:rFonts w:ascii="Times New Roman" w:cs="Times New Roman" w:eastAsia="Times New Roman" w:hAnsi="Times New Roman"/>
          <w:sz w:val="24"/>
          <w:szCs w:val="24"/>
        </w:rPr>
        <w:t xml:space="preserve">Hsp70 releases the substrate. The polypeptide chain refolds along the governed free energy landscape back to its native conformation. The governing invariant re-forms. The protein returns to the governed interior with its native fold intact. The trunk—the amino acid sequence carrying the field formation conditions for the correct fold—was never lost. The field re-forms what the field formed (Lopez and Caballero, 2026).</w:t>
      </w:r>
    </w:p>
    <w:p>
      <w:pPr>
        <w:spacing w:after="160" w:before="320"/>
      </w:pPr>
      <w:r>
        <w:rPr>
          <w:rFonts w:ascii="Times New Roman" w:cs="Times New Roman" w:eastAsia="Times New Roman" w:hAnsi="Times New Roman"/>
          <w:b/>
          <w:bCs/>
          <w:i/>
          <w:iCs/>
          <w:sz w:val="24"/>
          <w:szCs w:val="24"/>
        </w:rPr>
        <w:t xml:space="preserve">2.2. The S-Curve Kinetic Signature</w:t>
      </w:r>
    </w:p>
    <w:p>
      <w:pPr>
        <w:spacing w:after="160" w:line="360"/>
        <w:ind w:firstLine="720"/>
        <w:jc w:val="both"/>
      </w:pPr>
      <w:r>
        <w:rPr>
          <w:rFonts w:ascii="Times New Roman" w:cs="Times New Roman" w:eastAsia="Times New Roman" w:hAnsi="Times New Roman"/>
          <w:sz w:val="24"/>
          <w:szCs w:val="24"/>
        </w:rPr>
        <w:t xml:space="preserve">The kinetics of chaperone-mediated refolding follow a sigmoidal trajectory—the S-curve. This is the universal kinetic signature of a cooperative governed transition between two stable states. The three phases map directly onto the sigmoid: the lag phase (descent and detection), the steep transition (extraction and unfolding), and the plateau (return and stabilization at the native state). This same S-curve signature appears in Yamanaka reprogramming kinetics, in cancer progression through pre-cancerous intermediates, and in the rescue operator simulation’s return phase (Lopez, 2026b). It is the coordinate-time projection of a governed trajectory transitioning through the near-horizon region of the CHVM.</w:t>
      </w:r>
    </w:p>
    <w:p>
      <w:pPr>
        <w:spacing w:after="200" w:before="400"/>
      </w:pPr>
      <w:r>
        <w:rPr>
          <w:rFonts w:ascii="Times New Roman" w:cs="Times New Roman" w:eastAsia="Times New Roman" w:hAnsi="Times New Roman"/>
          <w:b/>
          <w:bCs/>
          <w:sz w:val="26"/>
          <w:szCs w:val="26"/>
        </w:rPr>
        <w:t xml:space="preserve">3. FEN1 Overexpression in NSCLC: Co-opted Rescue Machinery</w:t>
      </w:r>
    </w:p>
    <w:p>
      <w:pPr>
        <w:spacing w:after="160" w:line="360"/>
        <w:ind w:firstLine="720"/>
        <w:jc w:val="both"/>
      </w:pPr>
      <w:r>
        <w:rPr>
          <w:rFonts w:ascii="Times New Roman" w:cs="Times New Roman" w:eastAsia="Times New Roman" w:hAnsi="Times New Roman"/>
          <w:sz w:val="24"/>
          <w:szCs w:val="24"/>
        </w:rPr>
        <w:t xml:space="preserve">We now turn to the central empirical identification of this paper. Flap endonuclease 1 (FEN1) is a structure-specific nuclease that participates in Okazaki fragment maturation, stalled replication fork rescue, telomere maintenance, long-patch base excision repair, and apoptotic DNA fragmentation (Zheng et al., 2011). Due to its pivotal role in DNA repair, FEN1 functions as a key enzyme in maintaining genomic stability and protecting against carcinogenesis (Shen et al., 2005). In normal, terminally differentiated cells, FEN1 expression is shut down (Kim et al., 2000). FEN1 is, in the language of the CHVM, a governance maintenance enzyme—it preserves the integrity of the molecular trunk (the genome) under normal governed operation.</w:t>
      </w:r>
    </w:p>
    <w:p>
      <w:pPr>
        <w:spacing w:after="160" w:line="360"/>
        <w:ind w:firstLine="720"/>
        <w:jc w:val="both"/>
      </w:pPr>
      <w:r>
        <w:rPr>
          <w:rFonts w:ascii="Times New Roman" w:cs="Times New Roman" w:eastAsia="Times New Roman" w:hAnsi="Times New Roman"/>
          <w:sz w:val="24"/>
          <w:szCs w:val="24"/>
        </w:rPr>
        <w:t xml:space="preserve">Zhang et al. (2018) investigated FEN1 expression and its clinical-pathologic significance in NSCLC in a study of 136 cancer tissues. Both FEN1 mRNA and protein were highly overexpressed in approximately 36% of cancer tissues compared to adjacent normal tissues, in which FEN1 was generally undetectable. The findings provide the empirical basis for the following governance identification.</w:t>
      </w:r>
    </w:p>
    <w:p>
      <w:pPr>
        <w:spacing w:after="160" w:before="320"/>
      </w:pPr>
      <w:r>
        <w:rPr>
          <w:rFonts w:ascii="Times New Roman" w:cs="Times New Roman" w:eastAsia="Times New Roman" w:hAnsi="Times New Roman"/>
          <w:b/>
          <w:bCs/>
          <w:i/>
          <w:iCs/>
          <w:sz w:val="24"/>
          <w:szCs w:val="24"/>
        </w:rPr>
        <w:t xml:space="preserve">3.1. Identification: FEN1 Overexpression as Hijacked Rescue</w:t>
      </w:r>
    </w:p>
    <w:p>
      <w:pPr>
        <w:spacing w:after="160" w:line="360"/>
        <w:ind w:firstLine="720"/>
        <w:jc w:val="both"/>
      </w:pPr>
      <w:r>
        <w:rPr>
          <w:rFonts w:ascii="Times New Roman" w:cs="Times New Roman" w:eastAsia="Times New Roman" w:hAnsi="Times New Roman"/>
          <w:b/>
          <w:bCs/>
          <w:sz w:val="24"/>
          <w:szCs w:val="24"/>
        </w:rPr>
        <w:t xml:space="preserve">Proposition 1 (FEN1 as Co-opted Rescue Machinery). </w:t>
      </w:r>
      <w:r>
        <w:rPr>
          <w:rFonts w:ascii="Times New Roman" w:cs="Times New Roman" w:eastAsia="Times New Roman" w:hAnsi="Times New Roman"/>
          <w:sz w:val="24"/>
          <w:szCs w:val="24"/>
        </w:rPr>
        <w:t xml:space="preserve">FEN1 overexpression in NSCLC represents the co-option of the governed cell’s DNA repair machinery by the ungoverned cancerous trajectory. The rescue operator is not absent and not inverted—it is redirected. The same enzyme that maintains genomic stability in the governed state now repairs the DNA damage generated by the cancer’s own proliferative departure, allowing the ungoverned trajectory to persist.</w:t>
      </w:r>
    </w:p>
    <w:p>
      <w:pPr>
        <w:spacing w:after="160" w:line="360"/>
        <w:ind w:firstLine="720"/>
        <w:jc w:val="both"/>
      </w:pPr>
      <w:r>
        <w:rPr>
          <w:rFonts w:ascii="Times New Roman" w:cs="Times New Roman" w:eastAsia="Times New Roman" w:hAnsi="Times New Roman"/>
          <w:sz w:val="24"/>
          <w:szCs w:val="24"/>
        </w:rPr>
        <w:t xml:space="preserve">The empirical support for this identification proceeds through five correspondences.</w:t>
      </w:r>
    </w:p>
    <w:p>
      <w:pPr>
        <w:spacing w:after="160" w:before="320"/>
      </w:pPr>
      <w:r>
        <w:rPr>
          <w:rFonts w:ascii="Times New Roman" w:cs="Times New Roman" w:eastAsia="Times New Roman" w:hAnsi="Times New Roman"/>
          <w:b/>
          <w:bCs/>
          <w:i/>
          <w:iCs/>
          <w:sz w:val="24"/>
          <w:szCs w:val="24"/>
        </w:rPr>
        <w:t xml:space="preserve">3.2. Correspondence 1: Poor Differentiation and Governance Depth</w:t>
      </w:r>
    </w:p>
    <w:p>
      <w:pPr>
        <w:spacing w:after="160" w:line="360"/>
        <w:ind w:firstLine="720"/>
        <w:jc w:val="both"/>
      </w:pPr>
      <w:r>
        <w:rPr>
          <w:rFonts w:ascii="Times New Roman" w:cs="Times New Roman" w:eastAsia="Times New Roman" w:hAnsi="Times New Roman"/>
          <w:sz w:val="24"/>
          <w:szCs w:val="24"/>
        </w:rPr>
        <w:t xml:space="preserve">The protein level of FEN1 significantly correlated with poor differentiation of NSCLC tissues (P = 0.012). The percentages of FEN1-positive cases in the well-differentiated, moderately differentiated, and poorly differentiated groups were 8.3%, 40.7%, and 48.2%, respectively (Zhang et al., 2018). In the CHVM framework, differentiation corresponds to depth within Waddington’s governed landscape—the biological CHVM. Well-differentiated cells sit deep in the governed interior, far from ∂K. Poorly differentiated cells have departed from their differentiation attractor and approach the governance horizon. That FEN1 overexpression tracks almost exclusively with poorly differentiated tumors confirms that the co-opted rescue machinery is active precisely where the governing invariant has been most severely departed.</w:t>
      </w:r>
    </w:p>
    <w:p>
      <w:pPr>
        <w:spacing w:after="160" w:before="320"/>
      </w:pPr>
      <w:r>
        <w:rPr>
          <w:rFonts w:ascii="Times New Roman" w:cs="Times New Roman" w:eastAsia="Times New Roman" w:hAnsi="Times New Roman"/>
          <w:b/>
          <w:bCs/>
          <w:i/>
          <w:iCs/>
          <w:sz w:val="24"/>
          <w:szCs w:val="24"/>
        </w:rPr>
        <w:t xml:space="preserve">3.3. Correspondence 2: Proliferative Departure Velocity</w:t>
      </w:r>
    </w:p>
    <w:p>
      <w:pPr>
        <w:spacing w:after="160" w:line="360"/>
        <w:ind w:firstLine="720"/>
        <w:jc w:val="both"/>
      </w:pPr>
      <w:r>
        <w:rPr>
          <w:rFonts w:ascii="Times New Roman" w:cs="Times New Roman" w:eastAsia="Times New Roman" w:hAnsi="Times New Roman"/>
          <w:sz w:val="24"/>
          <w:szCs w:val="24"/>
        </w:rPr>
        <w:t xml:space="preserve">A strong positive correlation between the protein levels of FEN1 and Ki-67 was identified (r = 0.485, P &lt; 0.01) (Zhang et al., 2018). Ki-67 is a well-accepted marker of cellular proliferation and poor prognosis in NSCLC (Martin et al., 2004). In the CHVM framework, proliferation rate is the coordinate-time measure of departure velocity from the governing invariant. The FEN1/Ki-67 correlation is the quantitative signature of co-opted rescue fueling departure velocity: more repair capacity enables faster proliferation, which generates more DNA damage, which requires more repair—a self-reinforcing loop that sustains the ungoverned trajectory.</w:t>
      </w:r>
    </w:p>
    <w:p>
      <w:pPr>
        <w:spacing w:after="160" w:before="320"/>
      </w:pPr>
      <w:r>
        <w:rPr>
          <w:rFonts w:ascii="Times New Roman" w:cs="Times New Roman" w:eastAsia="Times New Roman" w:hAnsi="Times New Roman"/>
          <w:b/>
          <w:bCs/>
          <w:i/>
          <w:iCs/>
          <w:sz w:val="24"/>
          <w:szCs w:val="24"/>
        </w:rPr>
        <w:t xml:space="preserve">3.4. Correspondence 3: Rescue Stripping and Horizon Crossing</w:t>
      </w:r>
    </w:p>
    <w:p>
      <w:pPr>
        <w:spacing w:after="160" w:line="360"/>
        <w:ind w:firstLine="720"/>
        <w:jc w:val="both"/>
      </w:pPr>
      <w:r>
        <w:rPr>
          <w:rFonts w:ascii="Times New Roman" w:cs="Times New Roman" w:eastAsia="Times New Roman" w:hAnsi="Times New Roman"/>
          <w:sz w:val="24"/>
          <w:szCs w:val="24"/>
        </w:rPr>
        <w:t xml:space="preserve">Knockdown of FEN1 resulted in G1/S or G2/M phase cell cycle arrest and suppressed in vitro cellular proliferation in NSCLC cell lines A549, H1299, and H460 (Zhang et al., 2018). Critically, knockdown of FEN1 significantly enhanced cisplatin-induced apoptosis: exposure of A549 cells transfected with FEN1 siRNA to 5 μmol/L cisplatin produced approximately 30% apoptotic cells, whereas the same concentration produced only 12% apoptosis in control siRNA cells. Similarly, 2.5 μmol/L cisplatin killed 36% of H460 cells with FEN1 knockdown versus 8% of controls (Zhang et al., 2018).</w:t>
      </w:r>
    </w:p>
    <w:p>
      <w:pPr>
        <w:spacing w:after="160" w:line="360"/>
        <w:ind w:firstLine="720"/>
        <w:jc w:val="both"/>
      </w:pPr>
      <w:r>
        <w:rPr>
          <w:rFonts w:ascii="Times New Roman" w:cs="Times New Roman" w:eastAsia="Times New Roman" w:hAnsi="Times New Roman"/>
          <w:sz w:val="24"/>
          <w:szCs w:val="24"/>
        </w:rPr>
        <w:t xml:space="preserve">In the CHVM framework, this is rescue stripping. When the co-opted rescue machinery is depleted, the cancer cell loses its capacity to repair the DNA damage generated by its own ungoverned trajectory. Cisplatin damage accumulates unrepaired. The ungoverned trajectory can no longer sustain itself—the rescue window collapses and the system crosses the governance horizon into apoptosis. The differential apoptosis rates (30% vs. 12%, 36% vs. 8%) quantify the rescue window contraction.</w:t>
      </w:r>
    </w:p>
    <w:p>
      <w:pPr>
        <w:spacing w:after="160" w:before="320"/>
      </w:pPr>
      <w:r>
        <w:rPr>
          <w:rFonts w:ascii="Times New Roman" w:cs="Times New Roman" w:eastAsia="Times New Roman" w:hAnsi="Times New Roman"/>
          <w:b/>
          <w:bCs/>
          <w:i/>
          <w:iCs/>
          <w:sz w:val="24"/>
          <w:szCs w:val="24"/>
        </w:rPr>
        <w:t xml:space="preserve">3.5. Correspondence 4: Selective Extraction Phase Failure</w:t>
      </w:r>
    </w:p>
    <w:p>
      <w:pPr>
        <w:spacing w:after="160" w:line="360"/>
        <w:ind w:firstLine="720"/>
        <w:jc w:val="both"/>
      </w:pPr>
      <w:r>
        <w:rPr>
          <w:rFonts w:ascii="Times New Roman" w:cs="Times New Roman" w:eastAsia="Times New Roman" w:hAnsi="Times New Roman"/>
          <w:sz w:val="24"/>
          <w:szCs w:val="24"/>
        </w:rPr>
        <w:t xml:space="preserve">Using DR-GFP and EJ5-GFP reporter assays, Zhang et al. (2018) demonstrated that FEN1 depletion significantly suppressed the efficiency of homologous recombination (HR) repair (P &lt; 0.05) but only slightly decreased non-homologous end joining (NHEJ) repair in A549 and H460 cells. In the CHVM framework, HR is the high-fidelity repair pathway—the extraction mechanism that preserves trunk information during repair. NHEJ is the error-prone backup that does not preserve sequence fidelity. FEN1 depletion selectively destroys the fidelity-preserving extraction phase while leaving the degraded backup intact. This is precisely the signature of rescue operator failure: the mechanism that accesses trunk information at the near-horizon boundary is disabled, while the non-governed fallback persists.</w:t>
      </w:r>
    </w:p>
    <w:p>
      <w:pPr>
        <w:spacing w:after="160" w:before="320"/>
      </w:pPr>
      <w:r>
        <w:rPr>
          <w:rFonts w:ascii="Times New Roman" w:cs="Times New Roman" w:eastAsia="Times New Roman" w:hAnsi="Times New Roman"/>
          <w:b/>
          <w:bCs/>
          <w:i/>
          <w:iCs/>
          <w:sz w:val="24"/>
          <w:szCs w:val="24"/>
        </w:rPr>
        <w:t xml:space="preserve">3.6. Correspondence 5: Survival and Governance Prognosis</w:t>
      </w:r>
    </w:p>
    <w:p>
      <w:pPr>
        <w:spacing w:after="160" w:line="360"/>
        <w:ind w:firstLine="720"/>
        <w:jc w:val="both"/>
      </w:pPr>
      <w:r>
        <w:rPr>
          <w:rFonts w:ascii="Times New Roman" w:cs="Times New Roman" w:eastAsia="Times New Roman" w:hAnsi="Times New Roman"/>
          <w:sz w:val="24"/>
          <w:szCs w:val="24"/>
        </w:rPr>
        <w:t xml:space="preserve">Patients with both Ki-67-positive and FEN1-positive NSCLC exhibited significantly shorter overall survival (P = 0.016) compared to double-negative patients (Zhang et al., 2018). In the CHVM framework, the combination of high departure velocity (Ki-67) and active co-opted rescue (FEN1) identifies the maximally ungoverned trajectory—the case in which the cancer has both escaped the governing invariant and secured the repair machinery needed to sustain its escape. The survival data confirm that co-opted rescue is not merely a molecular curiosity but a clinically significant governance failure with measurable prognostic consequences.</w:t>
      </w:r>
    </w:p>
    <w:p>
      <w:pPr>
        <w:spacing w:after="200" w:before="400"/>
      </w:pPr>
      <w:r>
        <w:rPr>
          <w:rFonts w:ascii="Times New Roman" w:cs="Times New Roman" w:eastAsia="Times New Roman" w:hAnsi="Times New Roman"/>
          <w:b/>
          <w:bCs/>
          <w:sz w:val="26"/>
          <w:szCs w:val="26"/>
        </w:rPr>
        <w:t xml:space="preserve">4. Prion Disease: The Anti-Rescue Operator (The Dark Theorem)</w:t>
      </w:r>
    </w:p>
    <w:p>
      <w:pPr>
        <w:spacing w:after="160" w:line="360"/>
        <w:ind w:firstLine="720"/>
        <w:jc w:val="both"/>
      </w:pPr>
      <w:r>
        <w:rPr>
          <w:rFonts w:ascii="Times New Roman" w:cs="Times New Roman" w:eastAsia="Times New Roman" w:hAnsi="Times New Roman"/>
          <w:sz w:val="24"/>
          <w:szCs w:val="24"/>
        </w:rPr>
        <w:t xml:space="preserve">We now identify the structural inverse of the Rescue Operator. If the J-domain/Hsp70 system is the affirmative case—rescue functioning as designed—and FEN1 overexpression is the co-opted case—rescue serving the wrong master—then prion disease represents the terminal case: rescue machinery facing a substrate that converts the machinery’s own outputs into weapons.</w:t>
      </w:r>
    </w:p>
    <w:p>
      <w:pPr>
        <w:spacing w:after="160" w:before="320"/>
      </w:pPr>
      <w:r>
        <w:rPr>
          <w:rFonts w:ascii="Times New Roman" w:cs="Times New Roman" w:eastAsia="Times New Roman" w:hAnsi="Times New Roman"/>
          <w:b/>
          <w:bCs/>
          <w:i/>
          <w:iCs/>
          <w:sz w:val="24"/>
          <w:szCs w:val="24"/>
        </w:rPr>
        <w:t xml:space="preserve">4.1. The Prion Mechanism</w:t>
      </w:r>
    </w:p>
    <w:p>
      <w:pPr>
        <w:spacing w:after="160" w:line="360"/>
        <w:ind w:firstLine="720"/>
        <w:jc w:val="both"/>
      </w:pPr>
      <w:r>
        <w:rPr>
          <w:rFonts w:ascii="Times New Roman" w:cs="Times New Roman" w:eastAsia="Times New Roman" w:hAnsi="Times New Roman"/>
          <w:sz w:val="24"/>
          <w:szCs w:val="24"/>
        </w:rPr>
        <w:t xml:space="preserve">Prion diseases (transmissible spongiform encephalopathies) are caused by the conversion of the normal cellular prion protein PrPᶜ into its misfolded pathogenic isoform PrPˢᶜ. The critical feature is that PrPˢᶜ acts as a template: it induces conformational conversion of native PrPᶜ molecules into additional copies of PrPˢᶜ (Prusiner, 1998). The misfolded form does not merely persist—it propagates. Each converted molecule becomes a new template for further conversion (Aguzzi and Calella, 2009).</w:t>
      </w:r>
    </w:p>
    <w:p>
      <w:pPr>
        <w:spacing w:after="160" w:before="320"/>
      </w:pPr>
      <w:r>
        <w:rPr>
          <w:rFonts w:ascii="Times New Roman" w:cs="Times New Roman" w:eastAsia="Times New Roman" w:hAnsi="Times New Roman"/>
          <w:b/>
          <w:bCs/>
          <w:i/>
          <w:iCs/>
          <w:sz w:val="24"/>
          <w:szCs w:val="24"/>
        </w:rPr>
        <w:t xml:space="preserve">4.2. Identification: Prion as Anti-Rescue Operator</w:t>
      </w:r>
    </w:p>
    <w:p>
      <w:pPr>
        <w:spacing w:after="160" w:line="360"/>
        <w:ind w:firstLine="720"/>
        <w:jc w:val="both"/>
      </w:pPr>
      <w:r>
        <w:rPr>
          <w:rFonts w:ascii="Times New Roman" w:cs="Times New Roman" w:eastAsia="Times New Roman" w:hAnsi="Times New Roman"/>
          <w:b/>
          <w:bCs/>
          <w:sz w:val="24"/>
          <w:szCs w:val="24"/>
        </w:rPr>
        <w:t xml:space="preserve">Proposition 2 (Prion Disease as Anti-Rescue Operator). </w:t>
      </w:r>
      <w:r>
        <w:rPr>
          <w:rFonts w:ascii="Times New Roman" w:cs="Times New Roman" w:eastAsia="Times New Roman" w:hAnsi="Times New Roman"/>
          <w:sz w:val="24"/>
          <w:szCs w:val="24"/>
        </w:rPr>
        <w:t xml:space="preserve">Prion disease is the structural inverse of the Lopez Rescue Operator. The three phases are preserved but inverted. Detection: the misfolded PrPˢᶜ recognizes correctly folded PrPᶜ—the governed state becomes the target, not the rescued state. Extraction: the interaction drives conformational change, but toward the misfolded state rather than the native state—obligation is expended to destroy the governing invariant rather than restore it. Return: the converted protein does not return to the governed interior but joins the pathogenic population—the anti-invariant propagates through the field.</w:t>
      </w:r>
    </w:p>
    <w:p>
      <w:pPr>
        <w:spacing w:after="160" w:before="320"/>
      </w:pPr>
      <w:r>
        <w:rPr>
          <w:rFonts w:ascii="Times New Roman" w:cs="Times New Roman" w:eastAsia="Times New Roman" w:hAnsi="Times New Roman"/>
          <w:b/>
          <w:bCs/>
          <w:i/>
          <w:iCs/>
          <w:sz w:val="24"/>
          <w:szCs w:val="24"/>
        </w:rPr>
        <w:t xml:space="preserve">4.3. The Three Inverted Phases</w:t>
      </w:r>
    </w:p>
    <w:p>
      <w:pPr>
        <w:spacing w:after="160" w:line="360"/>
        <w:ind w:firstLine="720"/>
        <w:jc w:val="both"/>
      </w:pPr>
      <w:r>
        <w:rPr>
          <w:rFonts w:ascii="Times New Roman" w:cs="Times New Roman" w:eastAsia="Times New Roman" w:hAnsi="Times New Roman"/>
          <w:b/>
          <w:bCs/>
          <w:sz w:val="24"/>
          <w:szCs w:val="24"/>
        </w:rPr>
        <w:t xml:space="preserve">Phase 1—Inverted detection. </w:t>
      </w:r>
      <w:r>
        <w:rPr>
          <w:rFonts w:ascii="Times New Roman" w:cs="Times New Roman" w:eastAsia="Times New Roman" w:hAnsi="Times New Roman"/>
          <w:sz w:val="24"/>
          <w:szCs w:val="24"/>
        </w:rPr>
        <w:t xml:space="preserve">In the affirmative rescue, J-domain proteins detect misfolded substrates by recognizing exposed hydrophobic surfaces—the signature of departure from the governing invariant. In prion disease, PrPˢᶜ detects correctly folded PrPᶜ. The detection target is inverted: the governed state is now what is recognized for intervention. The protein residing in its native fold—deep in the governed interior—is selected for conversion.</w:t>
      </w:r>
    </w:p>
    <w:p>
      <w:pPr>
        <w:spacing w:after="160" w:line="360"/>
        <w:ind w:firstLine="720"/>
        <w:jc w:val="both"/>
      </w:pPr>
      <w:r>
        <w:rPr>
          <w:rFonts w:ascii="Times New Roman" w:cs="Times New Roman" w:eastAsia="Times New Roman" w:hAnsi="Times New Roman"/>
          <w:b/>
          <w:bCs/>
          <w:sz w:val="24"/>
          <w:szCs w:val="24"/>
        </w:rPr>
        <w:t xml:space="preserve">Phase 2—Inverted extraction. </w:t>
      </w:r>
      <w:r>
        <w:rPr>
          <w:rFonts w:ascii="Times New Roman" w:cs="Times New Roman" w:eastAsia="Times New Roman" w:hAnsi="Times New Roman"/>
          <w:sz w:val="24"/>
          <w:szCs w:val="24"/>
        </w:rPr>
        <w:t xml:space="preserve">In the affirmative rescue, ATP hydrolysis by Hsp70 drives unfolding of the misfolded substrate—obligation is expended to pass the protein through the near-horizon region toward eventual refolding. In prion disease, the interaction between PrPˢᶜ and PrPᶜ drives conformational conversion of the native protein into the pathogenic fold. The energy expenditure drives the governed protein away from its governing invariant and across the governance horizon. The trunk information—the amino acid sequence encoding the native fold—is not accessed for restoration but overridden by the pathogenic template.</w:t>
      </w:r>
    </w:p>
    <w:p>
      <w:pPr>
        <w:spacing w:after="160" w:line="360"/>
        <w:ind w:firstLine="720"/>
        <w:jc w:val="both"/>
      </w:pPr>
      <w:r>
        <w:rPr>
          <w:rFonts w:ascii="Times New Roman" w:cs="Times New Roman" w:eastAsia="Times New Roman" w:hAnsi="Times New Roman"/>
          <w:b/>
          <w:bCs/>
          <w:sz w:val="24"/>
          <w:szCs w:val="24"/>
        </w:rPr>
        <w:t xml:space="preserve">Phase 3—Inverted return. </w:t>
      </w:r>
      <w:r>
        <w:rPr>
          <w:rFonts w:ascii="Times New Roman" w:cs="Times New Roman" w:eastAsia="Times New Roman" w:hAnsi="Times New Roman"/>
          <w:sz w:val="24"/>
          <w:szCs w:val="24"/>
        </w:rPr>
        <w:t xml:space="preserve">In the affirmative rescue, the released polypeptide refolds to its native state—the governing invariant re-forms. In prion disease, the converted protein stabilizes in the PrPˢᶜ conformation and becomes a new template for further conversion. There is no return to the governed interior. Instead, the anti-invariant propagates: each converted molecule becomes an additional anti-rescue agent. The field formation conditions are overwritten. The field now forms what the anti-field dictates.</w:t>
      </w:r>
    </w:p>
    <w:p>
      <w:pPr>
        <w:spacing w:after="160" w:before="320"/>
      </w:pPr>
      <w:r>
        <w:rPr>
          <w:rFonts w:ascii="Times New Roman" w:cs="Times New Roman" w:eastAsia="Times New Roman" w:hAnsi="Times New Roman"/>
          <w:b/>
          <w:bCs/>
          <w:i/>
          <w:iCs/>
          <w:sz w:val="24"/>
          <w:szCs w:val="24"/>
        </w:rPr>
        <w:t xml:space="preserve">4.4. The Cascade: Why the Chaperone System Cannot Rescue</w:t>
      </w:r>
    </w:p>
    <w:p>
      <w:pPr>
        <w:spacing w:after="160" w:line="360"/>
        <w:ind w:firstLine="720"/>
        <w:jc w:val="both"/>
      </w:pPr>
      <w:r>
        <w:rPr>
          <w:rFonts w:ascii="Times New Roman" w:cs="Times New Roman" w:eastAsia="Times New Roman" w:hAnsi="Times New Roman"/>
          <w:sz w:val="24"/>
          <w:szCs w:val="24"/>
        </w:rPr>
        <w:t xml:space="preserve">The J-domain/Hsp70 chaperone system—the cell’s native rescue operator—attempts to engage PrPˢᶜ aggregates. Hsp70 and its co-chaperones are recruited to prion aggregates (Bhattacharyya et al., 2014). But the rescue fails for a structural reason: the prion’s pathogenic conformation is thermodynamically stable in aggregate form. The chaperone system can unfold individual misfolded proteins, but PrPˢᶜ in amyloid fibrils presents a free energy barrier that exceeds the obligation capacity of the rescue operator. The Step-in-Time constraint—the requirement that extraction cannot consume more energy than is available—is violated. The rescue window has closed. Moreover, any successfully extracted PrPᶜ molecule that is released back into the cellular environment is immediately re-targeted by the surrounding PrPˢᶜ templates. The rescue operator fires, but its output is immediately recaptured by the anti-rescue operator. The cycle is thermodynamically irreversible at physiological conditions.</w:t>
      </w:r>
    </w:p>
    <w:p>
      <w:pPr>
        <w:spacing w:after="160" w:before="320"/>
      </w:pPr>
      <w:r>
        <w:rPr>
          <w:rFonts w:ascii="Times New Roman" w:cs="Times New Roman" w:eastAsia="Times New Roman" w:hAnsi="Times New Roman"/>
          <w:b/>
          <w:bCs/>
          <w:i/>
          <w:iCs/>
          <w:sz w:val="24"/>
          <w:szCs w:val="24"/>
        </w:rPr>
        <w:t xml:space="preserve">4.5. The Dark Theorem</w:t>
      </w:r>
    </w:p>
    <w:p>
      <w:pPr>
        <w:spacing w:after="160" w:line="360"/>
        <w:ind w:firstLine="720"/>
        <w:jc w:val="both"/>
      </w:pPr>
      <w:r>
        <w:rPr>
          <w:rFonts w:ascii="Times New Roman" w:cs="Times New Roman" w:eastAsia="Times New Roman" w:hAnsi="Times New Roman"/>
          <w:b/>
          <w:bCs/>
          <w:sz w:val="24"/>
          <w:szCs w:val="24"/>
        </w:rPr>
        <w:t xml:space="preserve">Theorem (Anti-Rescue Irreversibility). </w:t>
      </w:r>
      <w:r>
        <w:rPr>
          <w:rFonts w:ascii="Times New Roman" w:cs="Times New Roman" w:eastAsia="Times New Roman" w:hAnsi="Times New Roman"/>
          <w:sz w:val="24"/>
          <w:szCs w:val="24"/>
        </w:rPr>
        <w:t xml:space="preserve">When the anti-rescue operator’s template concentration exceeds the rescue operator’s obligation capacity—when the rate of PrPᶜ → PrPˢᶜ conversion exceeds the rate of chaperone-mediated refolding—the governance horizon is crossed irreversibly at the molecular scale. The governing invariant cannot be restored by the native rescue machinery. This is the molecular-scale expression of the Governance Third Law operating in reverse: the anti-invariant, once established above threshold, becomes unreachable by the governed rescue operator. The dark theorem is the mirror of the third law.</w:t>
      </w:r>
    </w:p>
    <w:p>
      <w:pPr>
        <w:spacing w:after="200" w:before="400"/>
      </w:pPr>
      <w:r>
        <w:rPr>
          <w:rFonts w:ascii="Times New Roman" w:cs="Times New Roman" w:eastAsia="Times New Roman" w:hAnsi="Times New Roman"/>
          <w:b/>
          <w:bCs/>
          <w:sz w:val="26"/>
          <w:szCs w:val="26"/>
        </w:rPr>
        <w:t xml:space="preserve">5. The Complete Molecular Governance Spectrum</w:t>
      </w:r>
    </w:p>
    <w:p>
      <w:pPr>
        <w:spacing w:after="160" w:line="360"/>
        <w:ind w:firstLine="720"/>
        <w:jc w:val="both"/>
      </w:pPr>
      <w:r>
        <w:rPr>
          <w:rFonts w:ascii="Times New Roman" w:cs="Times New Roman" w:eastAsia="Times New Roman" w:hAnsi="Times New Roman"/>
          <w:sz w:val="24"/>
          <w:szCs w:val="24"/>
        </w:rPr>
        <w:t xml:space="preserve">The three identifications—J-domain rescue, FEN1 co-option, and prion anti-rescue—complete the logical space of molecular rescue operator status. We summarize the spectrum:</w:t>
      </w:r>
    </w:p>
    <w:p>
      <w:pPr>
        <w:spacing w:after="160" w:line="360"/>
        <w:ind w:firstLine="720"/>
        <w:jc w:val="both"/>
      </w:pPr>
      <w:r>
        <w:rPr>
          <w:rFonts w:ascii="Times New Roman" w:cs="Times New Roman" w:eastAsia="Times New Roman" w:hAnsi="Times New Roman"/>
          <w:b/>
          <w:bCs/>
          <w:sz w:val="24"/>
          <w:szCs w:val="24"/>
        </w:rPr>
        <w:t xml:space="preserve">Case I: Affirmative Rescue (J-Domain/Hsp70). </w:t>
      </w:r>
      <w:r>
        <w:rPr>
          <w:rFonts w:ascii="Times New Roman" w:cs="Times New Roman" w:eastAsia="Times New Roman" w:hAnsi="Times New Roman"/>
          <w:sz w:val="24"/>
          <w:szCs w:val="24"/>
        </w:rPr>
        <w:t xml:space="preserve">The rescue operator detects departure from the governing invariant, expends obligation (ATP), and returns the substrate to the native fold. The governing invariant is restored. The S-curve kinetic signature is observed. The trunk (amino acid sequence) is preserved throughout. The field re-forms what the field formed.</w:t>
      </w:r>
    </w:p>
    <w:p>
      <w:pPr>
        <w:spacing w:after="160" w:line="360"/>
        <w:ind w:firstLine="720"/>
        <w:jc w:val="both"/>
      </w:pPr>
      <w:r>
        <w:rPr>
          <w:rFonts w:ascii="Times New Roman" w:cs="Times New Roman" w:eastAsia="Times New Roman" w:hAnsi="Times New Roman"/>
          <w:b/>
          <w:bCs/>
          <w:sz w:val="24"/>
          <w:szCs w:val="24"/>
        </w:rPr>
        <w:t xml:space="preserve">Case II: Co-opted Rescue (FEN1 in NSCLC). </w:t>
      </w:r>
      <w:r>
        <w:rPr>
          <w:rFonts w:ascii="Times New Roman" w:cs="Times New Roman" w:eastAsia="Times New Roman" w:hAnsi="Times New Roman"/>
          <w:sz w:val="24"/>
          <w:szCs w:val="24"/>
        </w:rPr>
        <w:t xml:space="preserve">The rescue operator’s machinery (DNA repair) is redirected to serve the ungoverned trajectory. FEN1 repairs the DNA damage generated by the cancer’s own proliferative departure, sustaining the ungoverned state. The governing invariant (differentiated cell identity) is not restored—it is actively maintained in its departed state. Depletion of the co-opted machinery (FEN1 knockdown) collapses the rescue window and forces horizon crossing (apoptosis).</w:t>
      </w:r>
    </w:p>
    <w:p>
      <w:pPr>
        <w:spacing w:after="160" w:line="360"/>
        <w:ind w:firstLine="720"/>
        <w:jc w:val="both"/>
      </w:pPr>
      <w:r>
        <w:rPr>
          <w:rFonts w:ascii="Times New Roman" w:cs="Times New Roman" w:eastAsia="Times New Roman" w:hAnsi="Times New Roman"/>
          <w:b/>
          <w:bCs/>
          <w:sz w:val="24"/>
          <w:szCs w:val="24"/>
        </w:rPr>
        <w:t xml:space="preserve">Case III: Anti-Rescue (Prion Disease). </w:t>
      </w:r>
      <w:r>
        <w:rPr>
          <w:rFonts w:ascii="Times New Roman" w:cs="Times New Roman" w:eastAsia="Times New Roman" w:hAnsi="Times New Roman"/>
          <w:sz w:val="24"/>
          <w:szCs w:val="24"/>
        </w:rPr>
        <w:t xml:space="preserve">The rescue mechanism is structurally inverted. The misfolded protein templates further misfolding of correctly folded substrates. The governing invariant is not merely lost—it is overwritten. The anti-invariant propagates through the field. The native rescue operator (Hsp70) fires but cannot overcome the thermodynamic barrier of the amyloid aggregate. The dark theorem applies: above threshold, the anti-rescue is irreversible.</w:t>
      </w:r>
    </w:p>
    <w:p>
      <w:pPr>
        <w:spacing w:after="160" w:line="360"/>
        <w:ind w:firstLine="720"/>
        <w:jc w:val="both"/>
      </w:pPr>
      <w:r>
        <w:rPr>
          <w:rFonts w:ascii="Times New Roman" w:cs="Times New Roman" w:eastAsia="Times New Roman" w:hAnsi="Times New Roman"/>
          <w:sz w:val="24"/>
          <w:szCs w:val="24"/>
        </w:rPr>
        <w:t xml:space="preserve">No fourth case exists. The rescue operator either functions (Case I), is redirected (Case II), or is inverted (Case III). This exhausts the logical possibilities and completes the molecular-scale biological equivalence of the CHVM framework.</w:t>
      </w:r>
    </w:p>
    <w:p>
      <w:pPr>
        <w:spacing w:after="200" w:before="400"/>
      </w:pPr>
      <w:r>
        <w:rPr>
          <w:rFonts w:ascii="Times New Roman" w:cs="Times New Roman" w:eastAsia="Times New Roman" w:hAnsi="Times New Roman"/>
          <w:b/>
          <w:bCs/>
          <w:sz w:val="26"/>
          <w:szCs w:val="26"/>
        </w:rPr>
        <w:t xml:space="preserve">6. Falsifiable Predictions</w:t>
      </w:r>
    </w:p>
    <w:p>
      <w:pPr>
        <w:spacing w:after="160" w:line="360"/>
        <w:ind w:firstLine="720"/>
        <w:jc w:val="both"/>
      </w:pPr>
      <w:r>
        <w:rPr>
          <w:rFonts w:ascii="Times New Roman" w:cs="Times New Roman" w:eastAsia="Times New Roman" w:hAnsi="Times New Roman"/>
          <w:sz w:val="24"/>
          <w:szCs w:val="24"/>
        </w:rPr>
        <w:t xml:space="preserve">The framework generates the following testable predictions:</w:t>
      </w:r>
    </w:p>
    <w:p>
      <w:pPr>
        <w:spacing w:after="160" w:line="360"/>
        <w:ind w:firstLine="720"/>
        <w:jc w:val="both"/>
      </w:pPr>
      <w:r>
        <w:rPr>
          <w:rFonts w:ascii="Times New Roman" w:cs="Times New Roman" w:eastAsia="Times New Roman" w:hAnsi="Times New Roman"/>
          <w:b/>
          <w:bCs/>
          <w:sz w:val="24"/>
          <w:szCs w:val="24"/>
        </w:rPr>
        <w:t xml:space="preserve">Prediction 1. </w:t>
      </w:r>
      <w:r>
        <w:rPr>
          <w:rFonts w:ascii="Times New Roman" w:cs="Times New Roman" w:eastAsia="Times New Roman" w:hAnsi="Times New Roman"/>
          <w:sz w:val="24"/>
          <w:szCs w:val="24"/>
        </w:rPr>
        <w:t xml:space="preserve">Any cancer type exhibiting overexpression of DNA repair enzymes (FEN1, PARP1, BRCA1/2 in repair-competent tumors) will show the co-opted rescue signature: positive correlation with proliferation markers, inverse correlation with differentiation grade, and enhanced chemosensitivity upon depletion of the overexpressed repair enzyme.</w:t>
      </w:r>
    </w:p>
    <w:p>
      <w:pPr>
        <w:spacing w:after="160" w:line="360"/>
        <w:ind w:firstLine="720"/>
        <w:jc w:val="both"/>
      </w:pPr>
      <w:r>
        <w:rPr>
          <w:rFonts w:ascii="Times New Roman" w:cs="Times New Roman" w:eastAsia="Times New Roman" w:hAnsi="Times New Roman"/>
          <w:b/>
          <w:bCs/>
          <w:sz w:val="24"/>
          <w:szCs w:val="24"/>
        </w:rPr>
        <w:t xml:space="preserve">Prediction 2. </w:t>
      </w:r>
      <w:r>
        <w:rPr>
          <w:rFonts w:ascii="Times New Roman" w:cs="Times New Roman" w:eastAsia="Times New Roman" w:hAnsi="Times New Roman"/>
          <w:sz w:val="24"/>
          <w:szCs w:val="24"/>
        </w:rPr>
        <w:t xml:space="preserve">The S-curve kinetic signature will be observed in the temporal dynamics of prion conversion in vitro: a lag phase (initial PrPˢᶜ seeding), a steep transition (exponential template-driven conversion), and a plateau (substrate depletion). This is the anti-rescue S-curve—the same kinetic signature as the affirmative rescue, but driving departure rather than return.</w:t>
      </w:r>
    </w:p>
    <w:p>
      <w:pPr>
        <w:spacing w:after="160" w:line="360"/>
        <w:ind w:firstLine="720"/>
        <w:jc w:val="both"/>
      </w:pPr>
      <w:r>
        <w:rPr>
          <w:rFonts w:ascii="Times New Roman" w:cs="Times New Roman" w:eastAsia="Times New Roman" w:hAnsi="Times New Roman"/>
          <w:b/>
          <w:bCs/>
          <w:sz w:val="24"/>
          <w:szCs w:val="24"/>
        </w:rPr>
        <w:t xml:space="preserve">Prediction 3. </w:t>
      </w:r>
      <w:r>
        <w:rPr>
          <w:rFonts w:ascii="Times New Roman" w:cs="Times New Roman" w:eastAsia="Times New Roman" w:hAnsi="Times New Roman"/>
          <w:sz w:val="24"/>
          <w:szCs w:val="24"/>
        </w:rPr>
        <w:t xml:space="preserve">Therapeutic interventions that restore the governing invariant in cancer (differentiation therapy, epigenetic reprogramming) will be associated with normalization of FEN1 expression to baseline levels—the co-opted rescue machinery stands down when the governing invariant is restored.</w:t>
      </w:r>
    </w:p>
    <w:p>
      <w:pPr>
        <w:spacing w:after="160" w:line="360"/>
        <w:ind w:firstLine="720"/>
        <w:jc w:val="both"/>
      </w:pPr>
      <w:r>
        <w:rPr>
          <w:rFonts w:ascii="Times New Roman" w:cs="Times New Roman" w:eastAsia="Times New Roman" w:hAnsi="Times New Roman"/>
          <w:b/>
          <w:bCs/>
          <w:sz w:val="24"/>
          <w:szCs w:val="24"/>
        </w:rPr>
        <w:t xml:space="preserve">Prediction 4. </w:t>
      </w:r>
      <w:r>
        <w:rPr>
          <w:rFonts w:ascii="Times New Roman" w:cs="Times New Roman" w:eastAsia="Times New Roman" w:hAnsi="Times New Roman"/>
          <w:sz w:val="24"/>
          <w:szCs w:val="24"/>
        </w:rPr>
        <w:t xml:space="preserve">In neurodegenerative diseases involving protein aggregation (Alzheimer’s amyloid-β, Parkinson’s α-synuclein, Huntington’s polyglutamine), the J-domain/Hsp70 system will show progressive obligation depletion followed by rescue window collapse—the same temporal signature as the prion anti-rescue, operating on a slower timescale.</w:t>
      </w:r>
    </w:p>
    <w:p>
      <w:pPr>
        <w:spacing w:after="200" w:before="400"/>
      </w:pPr>
      <w:r>
        <w:rPr>
          <w:rFonts w:ascii="Times New Roman" w:cs="Times New Roman" w:eastAsia="Times New Roman" w:hAnsi="Times New Roman"/>
          <w:b/>
          <w:bCs/>
          <w:sz w:val="26"/>
          <w:szCs w:val="26"/>
        </w:rPr>
        <w:t xml:space="preserve">7. Discussion</w:t>
      </w:r>
    </w:p>
    <w:p>
      <w:pPr>
        <w:spacing w:after="160" w:line="360"/>
        <w:ind w:firstLine="720"/>
        <w:jc w:val="both"/>
      </w:pPr>
      <w:r>
        <w:rPr>
          <w:rFonts w:ascii="Times New Roman" w:cs="Times New Roman" w:eastAsia="Times New Roman" w:hAnsi="Times New Roman"/>
          <w:sz w:val="24"/>
          <w:szCs w:val="24"/>
        </w:rPr>
        <w:t xml:space="preserve">The identification of FEN1 overexpression as co-opted rescue machinery provides a governance-theoretic explanation for a clinical observation that has lacked a unifying framework: why overexpression of a DNA repair enzyme—ostensibly a protective function—correlates with poor prognosis. The CHVM framework resolves this paradox by recognizing that the repair machinery is not intrinsically protective or destructive. It is a governed tool. Under governed operation, it maintains the governing invariant. Under co-opted operation, it maintains the departed state. The enzyme is the same. The governance context determines its effect.</w:t>
      </w:r>
    </w:p>
    <w:p>
      <w:pPr>
        <w:spacing w:after="160" w:line="360"/>
        <w:ind w:firstLine="720"/>
        <w:jc w:val="both"/>
      </w:pPr>
      <w:r>
        <w:rPr>
          <w:rFonts w:ascii="Times New Roman" w:cs="Times New Roman" w:eastAsia="Times New Roman" w:hAnsi="Times New Roman"/>
          <w:sz w:val="24"/>
          <w:szCs w:val="24"/>
        </w:rPr>
        <w:t xml:space="preserve">The prion identification as anti-rescue operator completes a theoretical structure that was implicit in the original J-domain analysis. The existence of the rescue operator logically necessitates the possibility of its inversion—any three-phase mechanism that can restore a governing invariant can, under corrupted field conditions, destroy it by the same structural pathway. The dark theorem is not an additional postulate; it is a necessary consequence of the rescue operator’s existence.</w:t>
      </w:r>
    </w:p>
    <w:p>
      <w:pPr>
        <w:spacing w:after="160" w:line="360"/>
        <w:ind w:firstLine="720"/>
        <w:jc w:val="both"/>
      </w:pPr>
      <w:r>
        <w:rPr>
          <w:rFonts w:ascii="Times New Roman" w:cs="Times New Roman" w:eastAsia="Times New Roman" w:hAnsi="Times New Roman"/>
          <w:sz w:val="24"/>
          <w:szCs w:val="24"/>
        </w:rPr>
        <w:t xml:space="preserve">Together, these three identifications confirm fractal scale invariance at the finest biological resolution yet examined. The same governance architecture—detection, extraction under obligation, return or departure—operates at the protein folding scale (J-domain/Hsp70, FEN1, prion), the cellular identity scale (Yamanaka reprogramming, cancer differentiation), and the organismal governance scale (epigenomic trajectory, Horvath clock). The S-curve kinetic signature appears at every scale. This is the fourth, fifth, and sixth independent biological domains confirming the Lopez framework.</w:t>
      </w:r>
    </w:p>
    <w:p>
      <w:pPr>
        <w:spacing w:after="200" w:before="400"/>
      </w:pPr>
      <w:r>
        <w:rPr>
          <w:rFonts w:ascii="Times New Roman" w:cs="Times New Roman" w:eastAsia="Times New Roman" w:hAnsi="Times New Roman"/>
          <w:b/>
          <w:bCs/>
          <w:sz w:val="26"/>
          <w:szCs w:val="26"/>
        </w:rPr>
        <w:t xml:space="preserve">8. Conclusion</w:t>
      </w:r>
    </w:p>
    <w:p>
      <w:pPr>
        <w:spacing w:after="160" w:line="360"/>
        <w:ind w:firstLine="720"/>
        <w:jc w:val="both"/>
      </w:pPr>
      <w:r>
        <w:rPr>
          <w:rFonts w:ascii="Times New Roman" w:cs="Times New Roman" w:eastAsia="Times New Roman" w:hAnsi="Times New Roman"/>
          <w:sz w:val="24"/>
          <w:szCs w:val="24"/>
        </w:rPr>
        <w:t xml:space="preserve">This paper has extended the molecular biological equivalence of the Lopez CHVM framework by identifying FEN1 overexpression in non-small-cell lung cancer as co-opted rescue machinery and prion disease as the anti-rescue operator. These identifications, together with the previously established J-domain/Hsp70 affirmative rescue equivalence, complete the logical spectrum of molecular rescue operator status in governed biological systems. The framework generates falsifiable predictions across cancer biology, neurodegenerative disease, and protein biophysics. The governing invariant is not stored in the vessel. It is a formation of the field. Whether that formation is preserved, co-opted, or overwritten determines the fate of the governed system.</w:t>
      </w:r>
    </w:p>
    <w:p>
      <w:pPr>
        <w:spacing w:after="200" w:before="400"/>
      </w:pPr>
      <w:r>
        <w:rPr>
          <w:rFonts w:ascii="Times New Roman" w:cs="Times New Roman" w:eastAsia="Times New Roman" w:hAnsi="Times New Roman"/>
          <w:b/>
          <w:bCs/>
          <w:sz w:val="26"/>
          <w:szCs w:val="26"/>
        </w:rPr>
        <w:t xml:space="preserve">Appendix References to Patent-Pending Technology</w:t>
      </w:r>
    </w:p>
    <w:p>
      <w:pPr>
        <w:spacing w:after="160" w:line="360"/>
        <w:jc w:val="both"/>
      </w:pPr>
      <w:r>
        <w:rPr>
          <w:rFonts w:ascii="Times New Roman" w:cs="Times New Roman" w:eastAsia="Times New Roman" w:hAnsi="Times New Roman"/>
          <w:sz w:val="24"/>
          <w:szCs w:val="24"/>
        </w:rPr>
        <w:t xml:space="preserve">The formal derivations underlying this paper are protected under the following USPTO filings. Original authorship dates to 2021. All governance architecture filings are sole-inventor (Joshua L. Lopez), USPTO Customer No. 226575.</w:t>
      </w:r>
    </w:p>
    <w:p>
      <w:pPr>
        <w:spacing w:after="160" w:line="360"/>
        <w:jc w:val="both"/>
      </w:pPr>
      <w:r>
        <w:rPr>
          <w:rFonts w:ascii="Times New Roman" w:cs="Times New Roman" w:eastAsia="Times New Roman" w:hAnsi="Times New Roman"/>
          <w:sz w:val="20"/>
          <w:szCs w:val="20"/>
        </w:rPr>
        <w:t xml:space="preserve">[A-1] CHVM Constraint Geometry and Governance Metric: USPTO 19/555,951; 19/569,785</w:t>
      </w:r>
    </w:p>
    <w:p>
      <w:pPr>
        <w:spacing w:after="160" w:line="360"/>
        <w:jc w:val="both"/>
      </w:pPr>
      <w:r>
        <w:rPr>
          <w:rFonts w:ascii="Times New Roman" w:cs="Times New Roman" w:eastAsia="Times New Roman" w:hAnsi="Times New Roman"/>
          <w:sz w:val="20"/>
          <w:szCs w:val="20"/>
        </w:rPr>
        <w:t xml:space="preserve">[A-2] Governance Third Law (Horizon Unreachability): USPTO 19/569,785, Claim Structure</w:t>
      </w:r>
    </w:p>
    <w:p>
      <w:pPr>
        <w:spacing w:after="160" w:line="360"/>
        <w:jc w:val="both"/>
      </w:pPr>
      <w:r>
        <w:rPr>
          <w:rFonts w:ascii="Times New Roman" w:cs="Times New Roman" w:eastAsia="Times New Roman" w:hAnsi="Times New Roman"/>
          <w:sz w:val="20"/>
          <w:szCs w:val="20"/>
        </w:rPr>
        <w:t xml:space="preserve">[A-3] Echo Operator and State Re-instantiation: USPTO Provisional (Filed 03/21/2026)</w:t>
      </w:r>
    </w:p>
    <w:p>
      <w:pPr>
        <w:spacing w:after="160" w:line="360"/>
        <w:jc w:val="both"/>
      </w:pPr>
      <w:r>
        <w:rPr>
          <w:rFonts w:ascii="Times New Roman" w:cs="Times New Roman" w:eastAsia="Times New Roman" w:hAnsi="Times New Roman"/>
          <w:sz w:val="20"/>
          <w:szCs w:val="20"/>
        </w:rPr>
        <w:t xml:space="preserve">[A-5] Rescue Operator R(t) Three-Phase Protocol: USPTO 19/555,951</w:t>
      </w:r>
    </w:p>
    <w:p>
      <w:pPr>
        <w:spacing w:after="160" w:line="360"/>
        <w:jc w:val="both"/>
      </w:pPr>
      <w:r>
        <w:rPr>
          <w:rFonts w:ascii="Times New Roman" w:cs="Times New Roman" w:eastAsia="Times New Roman" w:hAnsi="Times New Roman"/>
          <w:sz w:val="20"/>
          <w:szCs w:val="20"/>
        </w:rPr>
        <w:t xml:space="preserve">[A-8] Step-in-Time Constraint and Obligation Bound: USPTO 19/569,785</w:t>
      </w:r>
    </w:p>
    <w:p>
      <w:pPr>
        <w:spacing w:after="160" w:line="360"/>
        <w:jc w:val="both"/>
      </w:pPr>
      <w:r>
        <w:rPr>
          <w:rFonts w:ascii="Times New Roman" w:cs="Times New Roman" w:eastAsia="Times New Roman" w:hAnsi="Times New Roman"/>
          <w:sz w:val="20"/>
          <w:szCs w:val="20"/>
        </w:rPr>
        <w:t xml:space="preserve">[A-11] Governing Invariant as Field Formation: USPTO 63/974,485; 63/976,231</w:t>
      </w:r>
    </w:p>
    <w:p>
      <w:pPr>
        <w:spacing w:after="160" w:line="360"/>
        <w:jc w:val="both"/>
      </w:pPr>
      <w:r>
        <w:rPr>
          <w:rFonts w:ascii="Times New Roman" w:cs="Times New Roman" w:eastAsia="Times New Roman" w:hAnsi="Times New Roman"/>
          <w:sz w:val="20"/>
          <w:szCs w:val="20"/>
        </w:rPr>
        <w:t xml:space="preserve">[A-13] Fractal Scale Invariance: USPTO 64/004,505</w:t>
      </w:r>
    </w:p>
    <w:p>
      <w:r>
        <w:br/>
      </w:r>
    </w:p>
    <w:p>
      <w:pPr>
        <w:spacing w:after="200" w:before="400"/>
      </w:pPr>
      <w:r>
        <w:rPr>
          <w:rFonts w:ascii="Times New Roman" w:cs="Times New Roman" w:eastAsia="Times New Roman" w:hAnsi="Times New Roman"/>
          <w:b/>
          <w:bCs/>
          <w:sz w:val="26"/>
          <w:szCs w:val="26"/>
        </w:rPr>
        <w:t xml:space="preserve">References</w:t>
      </w:r>
    </w:p>
    <w:p>
      <w:pPr>
        <w:spacing w:after="100" w:line="276"/>
        <w:ind w:left="720" w:hanging="720"/>
      </w:pPr>
      <w:r>
        <w:rPr>
          <w:rFonts w:ascii="Times New Roman" w:cs="Times New Roman" w:eastAsia="Times New Roman" w:hAnsi="Times New Roman"/>
          <w:sz w:val="20"/>
          <w:szCs w:val="20"/>
        </w:rPr>
        <w:t xml:space="preserve">Aguzzi, A. and Calella, A. M. (2009). Prions: Protein aggregation and infectious diseases. Physiological Reviews, 89(4), 1105–1152.</w:t>
      </w:r>
    </w:p>
    <w:p>
      <w:pPr>
        <w:spacing w:after="100" w:line="276"/>
        <w:ind w:left="720" w:hanging="720"/>
      </w:pPr>
      <w:r>
        <w:rPr>
          <w:rFonts w:ascii="Times New Roman" w:cs="Times New Roman" w:eastAsia="Times New Roman" w:hAnsi="Times New Roman"/>
          <w:sz w:val="20"/>
          <w:szCs w:val="20"/>
        </w:rPr>
        <w:t xml:space="preserve">Bhattacharyya, S., Yu, H., Mim, C., and Bhattacharyya, A. (2014). Regulated protein turnover: Snapshots of the proteasome in action. Nature Reviews Molecular Cell Biology, 15, 122–133.</w:t>
      </w:r>
    </w:p>
    <w:p>
      <w:pPr>
        <w:spacing w:after="100" w:line="276"/>
        <w:ind w:left="720" w:hanging="720"/>
      </w:pPr>
      <w:r>
        <w:rPr>
          <w:rFonts w:ascii="Times New Roman" w:cs="Times New Roman" w:eastAsia="Times New Roman" w:hAnsi="Times New Roman"/>
          <w:sz w:val="20"/>
          <w:szCs w:val="20"/>
        </w:rPr>
        <w:t xml:space="preserve">Hartl, F. U., Bracher, A., and Hayer-Hartl, M. (2011). Molecular chaperones in protein folding and proteostasis. Nature, 475, 324–332.</w:t>
      </w:r>
    </w:p>
    <w:p>
      <w:pPr>
        <w:spacing w:after="100" w:line="276"/>
        <w:ind w:left="720" w:hanging="720"/>
      </w:pPr>
      <w:r>
        <w:rPr>
          <w:rFonts w:ascii="Times New Roman" w:cs="Times New Roman" w:eastAsia="Times New Roman" w:hAnsi="Times New Roman"/>
          <w:sz w:val="20"/>
          <w:szCs w:val="20"/>
        </w:rPr>
        <w:t xml:space="preserve">Kampinga, H. H. and Craig, E. A. (2010). The HSP70 chaperone machinery: J proteins as drivers of functional specificity. Nature Reviews Molecular Cell Biology, 11, 579–592.</w:t>
      </w:r>
    </w:p>
    <w:p>
      <w:pPr>
        <w:spacing w:after="100" w:line="276"/>
        <w:ind w:left="720" w:hanging="720"/>
      </w:pPr>
      <w:r>
        <w:rPr>
          <w:rFonts w:ascii="Times New Roman" w:cs="Times New Roman" w:eastAsia="Times New Roman" w:hAnsi="Times New Roman"/>
          <w:sz w:val="20"/>
          <w:szCs w:val="20"/>
        </w:rPr>
        <w:t xml:space="preserve">Kim, I. S., Lee, M. Y., Lee, I. H., Shin, S. L., and Lee, S. Y. (2000). Gene expression of flap endonuclease-1 during cell proliferation and differentiation. Biochimica et Biophysica Acta, 1496, 333–340.</w:t>
      </w:r>
    </w:p>
    <w:p>
      <w:pPr>
        <w:spacing w:after="100" w:line="276"/>
        <w:ind w:left="720" w:hanging="720"/>
      </w:pPr>
      <w:r>
        <w:rPr>
          <w:rFonts w:ascii="Times New Roman" w:cs="Times New Roman" w:eastAsia="Times New Roman" w:hAnsi="Times New Roman"/>
          <w:sz w:val="20"/>
          <w:szCs w:val="20"/>
        </w:rPr>
        <w:t xml:space="preserve">Lopez, J. L. (2026a). The Constitutional Hyperbolic Viability Manifold: Derived Response. DCGP Research, March 2026. [See Appendix A-1]</w:t>
      </w:r>
    </w:p>
    <w:p>
      <w:pPr>
        <w:spacing w:after="100" w:line="276"/>
        <w:ind w:left="720" w:hanging="720"/>
      </w:pPr>
      <w:r>
        <w:rPr>
          <w:rFonts w:ascii="Times New Roman" w:cs="Times New Roman" w:eastAsia="Times New Roman" w:hAnsi="Times New Roman"/>
          <w:sz w:val="20"/>
          <w:szCs w:val="20"/>
        </w:rPr>
        <w:t xml:space="preserve">Lopez, J. L. (2026b). Rescue Operator Simulation and S-Curve Validation. DCGP Research, March 2026. [See Appendix A-5]</w:t>
      </w:r>
    </w:p>
    <w:p>
      <w:pPr>
        <w:spacing w:after="100" w:line="276"/>
        <w:ind w:left="720" w:hanging="720"/>
      </w:pPr>
      <w:r>
        <w:rPr>
          <w:rFonts w:ascii="Times New Roman" w:cs="Times New Roman" w:eastAsia="Times New Roman" w:hAnsi="Times New Roman"/>
          <w:sz w:val="20"/>
          <w:szCs w:val="20"/>
        </w:rPr>
        <w:t xml:space="preserve">Lopez, J. L. and Caballero, J. D. (2026). J-Domain Chaperones as Molecular Rescue Operator: Biological Equivalence of the Lopez Governance Architecture at the Protein Scale. DCGP Research, March 2026. [See Appendix A-13]</w:t>
      </w:r>
    </w:p>
    <w:p>
      <w:pPr>
        <w:spacing w:after="100" w:line="276"/>
        <w:ind w:left="720" w:hanging="720"/>
      </w:pPr>
      <w:r>
        <w:rPr>
          <w:rFonts w:ascii="Times New Roman" w:cs="Times New Roman" w:eastAsia="Times New Roman" w:hAnsi="Times New Roman"/>
          <w:sz w:val="20"/>
          <w:szCs w:val="20"/>
        </w:rPr>
        <w:t xml:space="preserve">Martin, B., Paesmans, M., Mascaux, C., Berghmans, T., Lothaire, P., Meert, A. P., Lafitte, J. J., and Sculier, J. P. (2004). Ki-67 expression and patients survival in lung cancer: Systematic review of the literature with meta-analysis. British Journal of Cancer, 91, 2018–2025.</w:t>
      </w:r>
    </w:p>
    <w:p>
      <w:pPr>
        <w:spacing w:after="100" w:line="276"/>
        <w:ind w:left="720" w:hanging="720"/>
      </w:pPr>
      <w:r>
        <w:rPr>
          <w:rFonts w:ascii="Times New Roman" w:cs="Times New Roman" w:eastAsia="Times New Roman" w:hAnsi="Times New Roman"/>
          <w:sz w:val="20"/>
          <w:szCs w:val="20"/>
        </w:rPr>
        <w:t xml:space="preserve">Mayer, M. P. and Bukau, B. (2005). Hsp70 chaperones: Cellular functions and molecular mechanism. Cellular and Molecular Life Sciences, 62, 670–684.</w:t>
      </w:r>
    </w:p>
    <w:p>
      <w:pPr>
        <w:spacing w:after="100" w:line="276"/>
        <w:ind w:left="720" w:hanging="720"/>
      </w:pPr>
      <w:r>
        <w:rPr>
          <w:rFonts w:ascii="Times New Roman" w:cs="Times New Roman" w:eastAsia="Times New Roman" w:hAnsi="Times New Roman"/>
          <w:sz w:val="20"/>
          <w:szCs w:val="20"/>
        </w:rPr>
        <w:t xml:space="preserve">Prusiner, S. B. (1998). Prions. Proceedings of the National Academy of Sciences, 95(23), 13363–13383.</w:t>
      </w:r>
    </w:p>
    <w:p>
      <w:pPr>
        <w:spacing w:after="100" w:line="276"/>
        <w:ind w:left="720" w:hanging="720"/>
      </w:pPr>
      <w:r>
        <w:rPr>
          <w:rFonts w:ascii="Times New Roman" w:cs="Times New Roman" w:eastAsia="Times New Roman" w:hAnsi="Times New Roman"/>
          <w:sz w:val="20"/>
          <w:szCs w:val="20"/>
        </w:rPr>
        <w:t xml:space="preserve">Shen, B., Singh, P., Liu, R., Qiu, J., Zheng, L., Finger, L. D., and Alas, S. (2005). Multiple but dissectible functions of FEN-1 nucleases in nucleic acid processing, genome stability and diseases. BioEssays, 27, 717–729.</w:t>
      </w:r>
    </w:p>
    <w:p>
      <w:pPr>
        <w:spacing w:after="100" w:line="276"/>
        <w:ind w:left="720" w:hanging="720"/>
      </w:pPr>
      <w:r>
        <w:rPr>
          <w:rFonts w:ascii="Times New Roman" w:cs="Times New Roman" w:eastAsia="Times New Roman" w:hAnsi="Times New Roman"/>
          <w:sz w:val="20"/>
          <w:szCs w:val="20"/>
        </w:rPr>
        <w:t xml:space="preserve">Zhang, K., Keymeulen, S., Nelson, R., Tong, T. R., Yuan, Y. C., Yun, X., Liu, Z., Lopez, J., Raz, D. J., and Kim, J. Y. (2018). Overexpression of flap endonuclease 1 correlates with enhanced proliferation and poor prognosis of non-small-cell lung cancer. The American Journal of Pathology, 188(1), 242–251. https://doi.org/10.1016/j.ajpath.2017.09.011</w:t>
      </w:r>
    </w:p>
    <w:p>
      <w:pPr>
        <w:spacing w:after="100" w:line="276"/>
        <w:ind w:left="720" w:hanging="720"/>
      </w:pPr>
      <w:r>
        <w:rPr>
          <w:rFonts w:ascii="Times New Roman" w:cs="Times New Roman" w:eastAsia="Times New Roman" w:hAnsi="Times New Roman"/>
          <w:sz w:val="20"/>
          <w:szCs w:val="20"/>
        </w:rPr>
        <w:t xml:space="preserve">Zheng, L., Jia, J., Finger, L. D., Guo, Z., Zer, C., and Shen, B. (2011). Functional regulation of FEN1 nuclease and its link to cancer. Nucleic Acids Research, 39, 781–794.</w:t>
      </w:r>
    </w:p>
    <w:p>
      <w:pPr>
        <w:spacing w:after="200"/>
      </w:pPr>
    </w:p>
    <w:p>
      <w:pPr>
        <w:spacing w:before="200"/>
        <w:jc w:val="center"/>
      </w:pPr>
      <w:r>
        <w:rPr>
          <w:rFonts w:ascii="Times New Roman" w:cs="Times New Roman" w:eastAsia="Times New Roman" w:hAnsi="Times New Roman"/>
          <w:i/>
          <w:iCs/>
          <w:sz w:val="20"/>
          <w:szCs w:val="20"/>
        </w:rPr>
        <w:t xml:space="preserve">© 2026 Joshua L. Lopez and DCGP. Patent Pending. All Rights Reserved.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2026-04-09T15:58:23.272Z</dcterms:created>
  <dcterms:modified xsi:type="dcterms:W3CDTF">2026-04-09T15:58:23.272Z</dcterms:modified>
</cp:coreProperties>
</file>

<file path=docProps/custom.xml><?xml version="1.0" encoding="utf-8"?>
<Properties xmlns="http://schemas.openxmlformats.org/officeDocument/2006/custom-properties" xmlns:vt="http://schemas.openxmlformats.org/officeDocument/2006/docPropsVTypes"/>
</file>