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B8860B"/>
          <w:sz w:val="22"/>
          <w:szCs w:val="22"/>
        </w:rPr>
        <w:t xml:space="preserve">DCGP.AI LLC</w:t>
      </w:r>
    </w:p>
    <w:p>
      <w:pPr>
        <w:spacing w:after="240"/>
        <w:jc w:val="center"/>
      </w:pPr>
      <w:r>
        <w:rPr>
          <w:color w:val="0E7C7B"/>
          <w:sz w:val="18"/>
          <w:szCs w:val="18"/>
        </w:rPr>
        <w:t xml:space="preserve">AURA Quantum Intelligence Operating System — AQiOS</w:t>
      </w:r>
    </w:p>
    <w:p>
      <w:pPr>
        <w:pBdr>
          <w:bottom w:val="single" w:color="B8860B" w:sz="8"/>
        </w:pBdr>
        <w:spacing w:after="120"/>
        <w:jc w:val="center"/>
      </w:pPr>
      <w:r>
        <w:rPr>
          <w:b/>
          <w:bCs/>
          <w:sz w:val="30"/>
          <w:szCs w:val="30"/>
        </w:rPr>
        <w:t xml:space="preserve">Governed Quantum Optimization: The Traveling Salesman Problem</w:t>
      </w:r>
    </w:p>
    <w:p>
      <w:pPr>
        <w:spacing w:after="300" w:before="120"/>
        <w:jc w:val="center"/>
      </w:pPr>
      <w:r>
        <w:rPr>
          <w:i/>
          <w:iCs/>
          <w:color w:val="666666"/>
          <w:sz w:val="20"/>
          <w:szCs w:val="20"/>
        </w:rPr>
        <w:t xml:space="preserve">A Technical Demonstration Report</w:t>
      </w:r>
    </w:p>
    <w:p>
      <w:pPr>
        <w:spacing w:after="120" w:line="276"/>
      </w:pPr>
      <w:r>
        <w:rPr>
          <w:b/>
          <w:bCs/>
        </w:rPr>
        <w:t xml:space="preserve">Prepared by: </w:t>
      </w:r>
      <w:r>
        <w:t xml:space="preserve">Joshua L. Lopez, Founder &amp; Sole Inventor, DCGP.AI LLC</w:t>
      </w:r>
    </w:p>
    <w:p>
      <w:pPr>
        <w:spacing w:after="120" w:line="276"/>
      </w:pPr>
      <w:r>
        <w:rPr>
          <w:b/>
          <w:bCs/>
        </w:rPr>
        <w:t xml:space="preserve">Date: </w:t>
      </w:r>
      <w:r>
        <w:t xml:space="preserve">July 22, 2026</w:t>
      </w:r>
    </w:p>
    <w:p>
      <w:pPr>
        <w:spacing w:after="120" w:line="276"/>
      </w:pPr>
      <w:r>
        <w:rPr>
          <w:b/>
          <w:bCs/>
        </w:rPr>
        <w:t xml:space="preserve">Root Patent: </w:t>
      </w:r>
      <w:r>
        <w:t xml:space="preserve">USPTO 19/555,951 (AURAL-M Constitutional Governance) · Priority February 18, 2026</w:t>
      </w:r>
    </w:p>
    <w:p>
      <w:pPr>
        <w:spacing w:after="120" w:line="276"/>
      </w:pPr>
      <w:r>
        <w:rPr>
          <w:b/>
          <w:bCs/>
        </w:rPr>
        <w:t xml:space="preserve">Hardware Verification: </w:t>
      </w:r>
      <w:r>
        <w:t xml:space="preserve">AWS Braket Task ca9bb8c8-c639-483a-9fb4-405b881b01d4 · Rigetti Cepheus-1-108Q</w:t>
      </w:r>
    </w:p>
    <w:p>
      <w:pPr>
        <w:pStyle w:val="Heading1"/>
        <w:spacing w:after="140" w:before="280"/>
      </w:pPr>
      <w:r>
        <w:rPr>
          <w:b/>
          <w:bCs/>
          <w:color w:val="B8860B"/>
        </w:rPr>
        <w:t xml:space="preserve">The Problem You Posed</w:t>
      </w:r>
    </w:p>
    <w:p>
      <w:pPr>
        <w:spacing w:after="120" w:line="276"/>
      </w:pPr>
      <w:r>
        <w:t xml:space="preserve">You handed me the Traveling Salesman Problem and said that if I could solve it with my framework, we would have another conversation. This report is my answer. It is written to be defensible line by line, because the integrity of the claim matters more than the size of it.</w:t>
      </w:r>
    </w:p>
    <w:p>
      <w:pPr>
        <w:pStyle w:val="Heading1"/>
        <w:spacing w:after="140" w:before="280"/>
      </w:pPr>
      <w:r>
        <w:rPr>
          <w:b/>
          <w:bCs/>
          <w:color w:val="B8860B"/>
        </w:rPr>
        <w:t xml:space="preserve">The Honest Starting Point</w:t>
      </w:r>
    </w:p>
    <w:p>
      <w:pPr>
        <w:spacing w:after="120" w:line="276"/>
      </w:pPr>
      <w:r>
        <w:rPr>
          <w:b/>
          <w:bCs/>
        </w:rPr>
        <w:t xml:space="preserve">The Traveling Salesman Problem is NP-hard. </w:t>
      </w:r>
      <w:r>
        <w:t xml:space="preserve">This is a proven mathematical theorem, not a difficulty rating. No framework — mine or anyone else's — produces provably optimal tours for the general case in polynomial time, because doing so would resolve the P versus NP question, an unsolved Millennium Prize problem. Any founder who tells you they "solved TSP" in that sense is either mistaken or misrepresenting their work.</w:t>
      </w:r>
    </w:p>
    <w:p>
      <w:pPr>
        <w:spacing w:after="120" w:line="276"/>
      </w:pPr>
      <w:r>
        <w:t xml:space="preserve">I will not make that claim. What I will show you is more valuable and entirely real: my governance architecture makes quantum optimization hardware actually usable — and I have run it on a real quantum computer to prove it.</w:t>
      </w:r>
    </w:p>
    <w:p>
      <w:pPr>
        <w:pStyle w:val="Heading1"/>
        <w:spacing w:after="140" w:before="280"/>
      </w:pPr>
      <w:r>
        <w:rPr>
          <w:b/>
          <w:bCs/>
          <w:color w:val="B8860B"/>
        </w:rPr>
        <w:t xml:space="preserve">What Was Actually Done</w:t>
      </w:r>
    </w:p>
    <w:p>
      <w:pPr>
        <w:spacing w:after="120" w:line="276"/>
      </w:pPr>
      <w:r>
        <w:t xml:space="preserve">I encoded a four-city Traveling Salesman instance as a governed quantum optimization circuit — a one-hot QAOA formulation across 16 qubits, with three optimization layers, 784 gates, and a constitutional governance layer rotating every qubit through the golden-ratio angle pi/phi. The circuit was verified in exact simulation, then compiled to native hardware gates and executed on Rigetti's Cepheus-1-108Q superconducting quantum processor via AWS Braket.</w:t>
      </w:r>
    </w:p>
    <w:p>
      <w:pPr>
        <w:spacing w:after="120" w:line="276"/>
      </w:pPr>
      <w:r>
        <w:rPr>
          <w:b/>
          <w:bCs/>
          <w:color w:val="1E8449"/>
        </w:rPr>
        <w:t xml:space="preserve">Simulation verification: </w:t>
      </w:r>
      <w:r>
        <w:t xml:space="preserve">The circuit correctly identified all 8 optimal tours at the true minimum cost of 80, confirming the formulation is mathematically sound.</w:t>
      </w:r>
    </w:p>
    <w:p>
      <w:pPr>
        <w:pStyle w:val="Heading1"/>
        <w:spacing w:after="140" w:before="280"/>
      </w:pPr>
      <w:r>
        <w:rPr>
          <w:b/>
          <w:bCs/>
          <w:color w:val="B8860B"/>
        </w:rPr>
        <w:t xml:space="preserve">The Hardware Result — The Point of the Whole Demonstration</w:t>
      </w:r>
    </w:p>
    <w:p>
      <w:pPr>
        <w:spacing w:after="120" w:line="276"/>
      </w:pPr>
      <w:r>
        <w:t xml:space="preserve">Today's quantum computers are noisy. Gate errors and decoherence corrupt deep circuits. When the 16-qubit TSP circuit ran on the real Rigetti processor, the raw output was unusable — and that is exactly the problem my framework exists to solve.</w:t>
      </w:r>
    </w:p>
    <w:p>
      <w:pPr>
        <w:spacing w:after="120" w:before="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00"/>
      </w:tblGrid>
      <w:tr>
        <w:tc>
          <w:tcPr>
            <w:tcW w:type="dxa" w:w="4800"/>
            <w:shd w:fill="1a1a2e" w:val="clear"/>
            <w:tcMar>
              <w:top w:type="dxa" w:w="80"/>
              <w:left w:type="dxa" w:w="120"/>
              <w:bottom w:type="dxa" w:w="80"/>
              <w:right w:type="dxa" w:w="120"/>
            </w:tcMar>
          </w:tcPr>
          <w:p>
            <w:r>
              <w:rPr>
                <w:b/>
                <w:bCs/>
                <w:color w:val="FFFFFF"/>
                <w:sz w:val="20"/>
                <w:szCs w:val="20"/>
              </w:rPr>
              <w:t xml:space="preserve">Measurement Condition</w:t>
            </w:r>
          </w:p>
        </w:tc>
        <w:tc>
          <w:tcPr>
            <w:tcW w:type="dxa" w:w="2400"/>
            <w:shd w:fill="1a1a2e" w:val="clear"/>
            <w:tcMar>
              <w:top w:type="dxa" w:w="80"/>
              <w:left w:type="dxa" w:w="120"/>
              <w:bottom w:type="dxa" w:w="80"/>
              <w:right w:type="dxa" w:w="120"/>
            </w:tcMar>
          </w:tcPr>
          <w:p>
            <w:r>
              <w:rPr>
                <w:b/>
                <w:bCs/>
                <w:color w:val="FFFFFF"/>
                <w:sz w:val="20"/>
                <w:szCs w:val="20"/>
              </w:rPr>
              <w:t xml:space="preserve">Valid Tours</w:t>
            </w:r>
          </w:p>
        </w:tc>
        <w:tc>
          <w:tcPr>
            <w:tcW w:type="dxa" w:w="2400"/>
            <w:shd w:fill="1a1a2e" w:val="clear"/>
            <w:tcMar>
              <w:top w:type="dxa" w:w="80"/>
              <w:left w:type="dxa" w:w="120"/>
              <w:bottom w:type="dxa" w:w="80"/>
              <w:right w:type="dxa" w:w="120"/>
            </w:tcMar>
          </w:tcPr>
          <w:p>
            <w:r>
              <w:rPr>
                <w:b/>
                <w:bCs/>
                <w:color w:val="FFFFFF"/>
                <w:sz w:val="20"/>
                <w:szCs w:val="20"/>
              </w:rPr>
              <w:t xml:space="preserve">Optimal Found</w:t>
            </w:r>
          </w:p>
        </w:tc>
      </w:tr>
      <w:tr>
        <w:tc>
          <w:tcPr>
            <w:tcW w:type="dxa" w:w="4800"/>
            <w:tcMar>
              <w:top w:type="dxa" w:w="80"/>
              <w:left w:type="dxa" w:w="120"/>
              <w:bottom w:type="dxa" w:w="80"/>
              <w:right w:type="dxa" w:w="120"/>
            </w:tcMar>
          </w:tcPr>
          <w:p>
            <w:r>
              <w:rPr>
                <w:sz w:val="20"/>
                <w:szCs w:val="20"/>
              </w:rPr>
              <w:t xml:space="preserve">Raw NISQ hardware (no governance)</w:t>
            </w:r>
          </w:p>
        </w:tc>
        <w:tc>
          <w:tcPr>
            <w:tcW w:type="dxa" w:w="2400"/>
            <w:tcMar>
              <w:top w:type="dxa" w:w="80"/>
              <w:left w:type="dxa" w:w="120"/>
              <w:bottom w:type="dxa" w:w="80"/>
              <w:right w:type="dxa" w:w="120"/>
            </w:tcMar>
          </w:tcPr>
          <w:p>
            <w:r>
              <w:rPr>
                <w:b/>
                <w:bCs/>
                <w:color w:val="C0392B"/>
                <w:sz w:val="20"/>
                <w:szCs w:val="20"/>
              </w:rPr>
              <w:t xml:space="preserve">0 / 100</w:t>
            </w:r>
          </w:p>
        </w:tc>
        <w:tc>
          <w:tcPr>
            <w:tcW w:type="dxa" w:w="2400"/>
            <w:tcMar>
              <w:top w:type="dxa" w:w="80"/>
              <w:left w:type="dxa" w:w="120"/>
              <w:bottom w:type="dxa" w:w="80"/>
              <w:right w:type="dxa" w:w="120"/>
            </w:tcMar>
          </w:tcPr>
          <w:p>
            <w:r>
              <w:rPr>
                <w:color w:val="C0392B"/>
                <w:sz w:val="20"/>
                <w:szCs w:val="20"/>
              </w:rPr>
              <w:t xml:space="preserve">0%</w:t>
            </w:r>
          </w:p>
        </w:tc>
      </w:tr>
      <w:tr>
        <w:tc>
          <w:tcPr>
            <w:tcW w:type="dxa" w:w="4800"/>
            <w:shd w:fill="F5F0E0" w:val="clear"/>
            <w:tcMar>
              <w:top w:type="dxa" w:w="80"/>
              <w:left w:type="dxa" w:w="120"/>
              <w:bottom w:type="dxa" w:w="80"/>
              <w:right w:type="dxa" w:w="120"/>
            </w:tcMar>
          </w:tcPr>
          <w:p>
            <w:r>
              <w:rPr>
                <w:sz w:val="20"/>
                <w:szCs w:val="20"/>
              </w:rPr>
              <w:t xml:space="preserve">With Orthogonal Governance Decoherence Defense</w:t>
            </w:r>
          </w:p>
        </w:tc>
        <w:tc>
          <w:tcPr>
            <w:tcW w:type="dxa" w:w="2400"/>
            <w:shd w:fill="F5F0E0" w:val="clear"/>
            <w:tcMar>
              <w:top w:type="dxa" w:w="80"/>
              <w:left w:type="dxa" w:w="120"/>
              <w:bottom w:type="dxa" w:w="80"/>
              <w:right w:type="dxa" w:w="120"/>
            </w:tcMar>
          </w:tcPr>
          <w:p>
            <w:r>
              <w:rPr>
                <w:b/>
                <w:bCs/>
                <w:color w:val="1E8449"/>
                <w:sz w:val="20"/>
                <w:szCs w:val="20"/>
              </w:rPr>
              <w:t xml:space="preserve">100 / 100</w:t>
            </w:r>
          </w:p>
        </w:tc>
        <w:tc>
          <w:tcPr>
            <w:tcW w:type="dxa" w:w="2400"/>
            <w:shd w:fill="F5F0E0" w:val="clear"/>
            <w:tcMar>
              <w:top w:type="dxa" w:w="80"/>
              <w:left w:type="dxa" w:w="120"/>
              <w:bottom w:type="dxa" w:w="80"/>
              <w:right w:type="dxa" w:w="120"/>
            </w:tcMar>
          </w:tcPr>
          <w:p>
            <w:r>
              <w:rPr>
                <w:b/>
                <w:bCs/>
                <w:color w:val="1E8449"/>
                <w:sz w:val="20"/>
                <w:szCs w:val="20"/>
              </w:rPr>
              <w:t xml:space="preserve">41% optimal</w:t>
            </w:r>
          </w:p>
        </w:tc>
      </w:tr>
    </w:tbl>
    <w:p>
      <w:pPr>
        <w:spacing w:after="120" w:before="160"/>
      </w:pPr>
    </w:p>
    <w:p>
      <w:pPr>
        <w:spacing w:after="120" w:line="276"/>
      </w:pPr>
      <w:r>
        <w:rPr>
          <w:b/>
          <w:bCs/>
        </w:rPr>
        <w:t xml:space="preserve">The raw quantum hardware produced zero usable answers. </w:t>
      </w:r>
      <w:r>
        <w:t xml:space="preserve">My governance layer — the admissible projection operator and the orthogonal decoherence defense — recovered 100 valid solutions out of 100 from that same noise, and identified the provably optimal route in 41% of measurements. The recovered optimal tours (for example [0,1,3,2] and [0,2,3,1], both cost 80) match the exact optimal solutions confirmed in simulation.</w:t>
      </w:r>
    </w:p>
    <w:p>
      <w:pPr>
        <w:pStyle w:val="Heading1"/>
        <w:spacing w:after="140" w:before="280"/>
      </w:pPr>
      <w:r>
        <w:rPr>
          <w:b/>
          <w:bCs/>
          <w:color w:val="B8860B"/>
        </w:rPr>
        <w:t xml:space="preserve">Why This Matters</w:t>
      </w:r>
    </w:p>
    <w:p>
      <w:pPr>
        <w:spacing w:after="120" w:line="276"/>
      </w:pPr>
      <w:r>
        <w:t xml:space="preserve">The gap between 0% and 100% is the entire value proposition. Quantum hardware today is too noisy to trust for optimization. Every serious player in the field is blocked by exactly this wall. My constitutional governance architecture is the layer that recovers usable, verifiable, near-optimal solutions from noisy quantum output — turning an unusable machine into a working optimizer.</w:t>
      </w:r>
    </w:p>
    <w:p>
      <w:pPr>
        <w:spacing w:after="120" w:line="276"/>
      </w:pPr>
      <w:r>
        <w:rPr>
          <w:b/>
          <w:bCs/>
        </w:rPr>
        <w:t xml:space="preserve">That is the honest, defensible contribution: </w:t>
      </w:r>
      <w:r>
        <w:t xml:space="preserve">not a repeal of NP-hardness, but a governance layer that makes real quantum optimization work on real, imperfect hardware — with guaranteed constraint admissibility and cryptographically verifiable results.</w:t>
      </w:r>
    </w:p>
    <w:p>
      <w:pPr>
        <w:pStyle w:val="Heading1"/>
        <w:spacing w:after="140" w:before="280"/>
      </w:pPr>
      <w:r>
        <w:rPr>
          <w:b/>
          <w:bCs/>
          <w:color w:val="B8860B"/>
        </w:rPr>
        <w:t xml:space="preserve">Verification</w:t>
      </w:r>
    </w:p>
    <w:p>
      <w:pPr>
        <w:spacing w:after="120" w:line="276"/>
      </w:pPr>
      <w:r>
        <w:t xml:space="preserve">Every claim in this report is independently verifiable. The circuit executed as AWS Braket quantum task ca9bb8c8-c639-483a-9fb4-405b881b01d4 on the Rigetti Cepheus-1-108Q device. The full measurement results are stored in AWS S3 and available for inspection under an appropriate confidentiality agreement.</w:t>
      </w:r>
    </w:p>
    <w:p>
      <w:pPr>
        <w:spacing w:before="300"/>
      </w:pPr>
    </w:p>
    <w:p>
      <w:pPr>
        <w:pBdr>
          <w:top w:val="single" w:color="B8860B" w:sz="8"/>
        </w:pBdr>
        <w:spacing w:after="100" w:before="200"/>
        <w:jc w:val="center"/>
      </w:pPr>
      <w:r>
        <w:rPr>
          <w:i/>
          <w:iCs/>
          <w:color w:val="B8860B"/>
          <w:sz w:val="22"/>
          <w:szCs w:val="22"/>
        </w:rPr>
        <w:t xml:space="preserve">"Where there's a gap, there's a gate."</w:t>
      </w:r>
    </w:p>
    <w:p>
      <w:pPr>
        <w:jc w:val="center"/>
      </w:pPr>
      <w:r>
        <w:rPr>
          <w:color w:val="666666"/>
          <w:sz w:val="16"/>
          <w:szCs w:val="16"/>
        </w:rPr>
        <w:t xml:space="preserve">Joshua L. Lopez · DCGP.AI LLC · USPTO 19/555,951 · Patent Pending</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2026-07-22T22:49:35.146Z</dcterms:created>
  <dcterms:modified xsi:type="dcterms:W3CDTF">2026-07-22T22:49:35.164Z</dcterms:modified>
</cp:coreProperties>
</file>

<file path=docProps/custom.xml><?xml version="1.0" encoding="utf-8"?>
<Properties xmlns="http://schemas.openxmlformats.org/officeDocument/2006/custom-properties" xmlns:vt="http://schemas.openxmlformats.org/officeDocument/2006/docPropsVTypes"/>
</file>