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sz w:val="4"/>
          <w:szCs w:val="4"/>
        </w:rPr>
        <w:t xml:space="preserve"/>
      </w:r>
    </w:p>
    <w:p>
      <w:pPr>
        <w:spacing w:after="80"/>
        <w:jc w:val="center"/>
      </w:pPr>
      <w:r>
        <w:rPr>
          <w:rFonts w:ascii="Arial" w:cs="Arial" w:eastAsia="Arial" w:hAnsi="Arial"/>
          <w:b/>
          <w:bCs/>
          <w:sz w:val="28"/>
          <w:szCs w:val="28"/>
        </w:rPr>
        <w:t xml:space="preserve">UNITED STATES PATENT AND TRADEMARK OFFICE</w:t>
      </w:r>
    </w:p>
    <w:p>
      <w:pPr>
        <w:spacing w:after="120"/>
      </w:pPr>
      <w:r>
        <w:rPr>
          <w:rFonts w:ascii="Arial" w:cs="Arial" w:eastAsia="Arial" w:hAnsi="Arial"/>
          <w:sz w:val="4"/>
          <w:szCs w:val="4"/>
        </w:rPr>
        <w:t xml:space="preserve"/>
      </w:r>
    </w:p>
    <w:p>
      <w:pPr>
        <w:spacing w:after="80"/>
        <w:jc w:val="center"/>
      </w:pPr>
      <w:r>
        <w:rPr>
          <w:rFonts w:ascii="Arial" w:cs="Arial" w:eastAsia="Arial" w:hAnsi="Arial"/>
          <w:b/>
          <w:bCs/>
          <w:sz w:val="24"/>
          <w:szCs w:val="24"/>
        </w:rPr>
        <w:t xml:space="preserve">PROVISIONAL PATENT APPLICATION</w:t>
      </w:r>
    </w:p>
    <w:p>
      <w:pPr>
        <w:spacing w:after="80"/>
        <w:jc w:val="center"/>
      </w:pPr>
      <w:r>
        <w:rPr>
          <w:rFonts w:ascii="Arial" w:cs="Arial" w:eastAsia="Arial" w:hAnsi="Arial"/>
          <w:sz w:val="20"/>
          <w:szCs w:val="20"/>
        </w:rPr>
        <w:t xml:space="preserve">Under 35 U.S.C. §111(b)</w:t>
      </w:r>
    </w:p>
    <w:p>
      <w:pPr>
        <w:spacing w:after="240"/>
      </w:pPr>
      <w:r>
        <w:rPr>
          <w:rFonts w:ascii="Arial" w:cs="Arial" w:eastAsia="Arial" w:hAnsi="Arial"/>
          <w:sz w:val="4"/>
          <w:szCs w:val="4"/>
        </w:rPr>
        <w:t xml:space="preserve"/>
      </w:r>
    </w:p>
    <w:p>
      <w:pPr>
        <w:pBdr>
          <w:bottom w:val="single" w:color="1B2A4A" w:sz="6" w:space="1"/>
        </w:pBdr>
        <w:spacing w:after="120" w:before="120"/>
      </w:pPr>
    </w:p>
    <w:p>
      <w:pPr>
        <w:spacing w:after="120"/>
      </w:pPr>
      <w:r>
        <w:rPr>
          <w:rFonts w:ascii="Arial" w:cs="Arial" w:eastAsia="Arial" w:hAnsi="Arial"/>
          <w:sz w:val="4"/>
          <w:szCs w:val="4"/>
        </w:rPr>
        <w:t xml:space="preserve"/>
      </w:r>
    </w:p>
    <w:p>
      <w:pPr>
        <w:spacing w:after="200"/>
        <w:jc w:val="center"/>
      </w:pPr>
      <w:r>
        <w:rPr>
          <w:rFonts w:ascii="Arial" w:cs="Arial" w:eastAsia="Arial" w:hAnsi="Arial"/>
          <w:b/>
          <w:bCs/>
          <w:color w:val="666666"/>
          <w:sz w:val="20"/>
          <w:szCs w:val="20"/>
        </w:rPr>
        <w:t xml:space="preserve">TITLE OF INVENTION</w:t>
      </w:r>
    </w:p>
    <w:p>
      <w:pPr>
        <w:spacing w:after="40"/>
        <w:jc w:val="center"/>
      </w:pPr>
      <w:r>
        <w:rPr>
          <w:rFonts w:ascii="Arial" w:cs="Arial" w:eastAsia="Arial" w:hAnsi="Arial"/>
          <w:b/>
          <w:bCs/>
          <w:sz w:val="26"/>
          <w:szCs w:val="26"/>
        </w:rPr>
        <w:t xml:space="preserve">SYSTEMS AND METHODS FOR GOVERNED QUANTUM DECOHERENCE</w:t>
      </w:r>
    </w:p>
    <w:p>
      <w:pPr>
        <w:spacing w:after="40"/>
        <w:jc w:val="center"/>
      </w:pPr>
      <w:r>
        <w:rPr>
          <w:rFonts w:ascii="Arial" w:cs="Arial" w:eastAsia="Arial" w:hAnsi="Arial"/>
          <w:b/>
          <w:bCs/>
          <w:sz w:val="26"/>
          <w:szCs w:val="26"/>
        </w:rPr>
        <w:t xml:space="preserve">HARVESTING PROPULSION COMPRISING A FOUR STAGE QUANTUM</w:t>
      </w:r>
    </w:p>
    <w:p>
      <w:pPr>
        <w:spacing w:after="40"/>
        <w:jc w:val="center"/>
      </w:pPr>
      <w:r>
        <w:rPr>
          <w:rFonts w:ascii="Arial" w:cs="Arial" w:eastAsia="Arial" w:hAnsi="Arial"/>
          <w:b/>
          <w:bCs/>
          <w:sz w:val="26"/>
          <w:szCs w:val="26"/>
        </w:rPr>
        <w:t xml:space="preserve">TURBINE WITH CONCENTRATING STELLAR RADIATION INTAKE AND</w:t>
      </w:r>
    </w:p>
    <w:p>
      <w:pPr>
        <w:spacing w:after="40"/>
        <w:jc w:val="center"/>
      </w:pPr>
      <w:r>
        <w:rPr>
          <w:rFonts w:ascii="Arial" w:cs="Arial" w:eastAsia="Arial" w:hAnsi="Arial"/>
          <w:b/>
          <w:bCs/>
          <w:sz w:val="26"/>
          <w:szCs w:val="26"/>
        </w:rPr>
        <w:t xml:space="preserve">GOVERNED OBLIGATION THERMODYNAMIC COMPRESSION AND SUPER</w:t>
      </w:r>
    </w:p>
    <w:p>
      <w:pPr>
        <w:spacing w:after="40"/>
        <w:jc w:val="center"/>
      </w:pPr>
      <w:r>
        <w:rPr>
          <w:rFonts w:ascii="Arial" w:cs="Arial" w:eastAsia="Arial" w:hAnsi="Arial"/>
          <w:b/>
          <w:bCs/>
          <w:sz w:val="26"/>
          <w:szCs w:val="26"/>
        </w:rPr>
        <w:t xml:space="preserve">LINEAR IGNITION PHASE TRANSITION AND CASCADED COHERENT</w:t>
      </w:r>
    </w:p>
    <w:p>
      <w:pPr>
        <w:spacing w:after="40"/>
        <w:jc w:val="center"/>
      </w:pPr>
      <w:r>
        <w:rPr>
          <w:rFonts w:ascii="Arial" w:cs="Arial" w:eastAsia="Arial" w:hAnsi="Arial"/>
          <w:b/>
          <w:bCs/>
          <w:sz w:val="26"/>
          <w:szCs w:val="26"/>
        </w:rPr>
        <w:t xml:space="preserve">CAVITY NOZZLE EMISSION PRODUCING PROPELLANTLESS</w:t>
      </w:r>
    </w:p>
    <w:p>
      <w:pPr>
        <w:spacing w:after="40"/>
        <w:jc w:val="center"/>
      </w:pPr>
      <w:r>
        <w:rPr>
          <w:rFonts w:ascii="Arial" w:cs="Arial" w:eastAsia="Arial" w:hAnsi="Arial"/>
          <w:b/>
          <w:bCs/>
          <w:sz w:val="26"/>
          <w:szCs w:val="26"/>
        </w:rPr>
        <w:t xml:space="preserve">SPACECRAFT THRUST WITH INFINITE SPECIFIC IMPULSE THROUGH</w:t>
      </w:r>
    </w:p>
    <w:p>
      <w:pPr>
        <w:spacing w:after="40"/>
        <w:jc w:val="center"/>
      </w:pPr>
      <w:r>
        <w:rPr>
          <w:rFonts w:ascii="Arial" w:cs="Arial" w:eastAsia="Arial" w:hAnsi="Arial"/>
          <w:b/>
          <w:bCs/>
          <w:sz w:val="26"/>
          <w:szCs w:val="26"/>
        </w:rPr>
        <w:t xml:space="preserve">DOUBLE LOOP CONSTITUTIONAL CONSTRAINT GOVERNANCE</w:t>
      </w:r>
    </w:p>
    <w:p>
      <w:pPr>
        <w:spacing w:after="40"/>
        <w:jc w:val="center"/>
      </w:pPr>
      <w:r>
        <w:rPr>
          <w:rFonts w:ascii="Arial" w:cs="Arial" w:eastAsia="Arial" w:hAnsi="Arial"/>
          <w:b/>
          <w:bCs/>
          <w:sz w:val="26"/>
          <w:szCs w:val="26"/>
        </w:rPr>
        <w:t xml:space="preserve">ORTHOGONAL DECOHERENCE DEFENSE AND RECURSIVE SIGNAL TO</w:t>
      </w:r>
    </w:p>
    <w:p>
      <w:pPr>
        <w:spacing w:after="40"/>
        <w:jc w:val="center"/>
      </w:pPr>
      <w:r>
        <w:rPr>
          <w:rFonts w:ascii="Arial" w:cs="Arial" w:eastAsia="Arial" w:hAnsi="Arial"/>
          <w:b/>
          <w:bCs/>
          <w:sz w:val="26"/>
          <w:szCs w:val="26"/>
        </w:rPr>
        <w:t xml:space="preserve">NOISE RATIO COMPOUNDING AND FIELD MEDIATED REGISTER</w:t>
      </w:r>
    </w:p>
    <w:p>
      <w:pPr>
        <w:spacing w:after="200"/>
        <w:jc w:val="center"/>
      </w:pPr>
      <w:r>
        <w:rPr>
          <w:rFonts w:ascii="Arial" w:cs="Arial" w:eastAsia="Arial" w:hAnsi="Arial"/>
          <w:b/>
          <w:bCs/>
          <w:sz w:val="26"/>
          <w:szCs w:val="26"/>
        </w:rPr>
        <w:t xml:space="preserve">SYNCHRONIZATION</w:t>
      </w:r>
    </w:p>
    <w:p>
      <w:pPr>
        <w:pBdr>
          <w:bottom w:val="single" w:color="1B2A4A" w:sz="6" w:space="1"/>
        </w:pBdr>
        <w:spacing w:after="120" w:before="120"/>
      </w:pPr>
    </w:p>
    <w:p>
      <w:pPr>
        <w:spacing w:after="24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888888" w:sz="1"/>
              <w:left w:val="single" w:color="888888" w:sz="1"/>
              <w:bottom w:val="single" w:color="888888" w:sz="1"/>
              <w:right w:val="single" w:color="888888" w:sz="1"/>
            </w:tcBorders>
            <w:shd w:fill="F0F4F8" w:val="clear"/>
            <w:tcMar>
              <w:top w:type="dxa" w:w="60"/>
              <w:left w:type="dxa" w:w="120"/>
              <w:bottom w:type="dxa" w:w="60"/>
              <w:right w:type="dxa" w:w="120"/>
            </w:tcMar>
          </w:tcPr>
          <w:p>
            <w:r>
              <w:rPr>
                <w:rFonts w:ascii="Arial" w:cs="Arial" w:eastAsia="Arial" w:hAnsi="Arial"/>
                <w:b/>
                <w:bCs/>
                <w:sz w:val="20"/>
                <w:szCs w:val="20"/>
              </w:rPr>
              <w:t xml:space="preserve">INVENTOR:</w:t>
            </w:r>
          </w:p>
        </w:tc>
        <w:tc>
          <w:tcPr>
            <w:tcW w:type="dxa" w:w="6160"/>
            <w:tcBorders>
              <w:top w:val="single" w:color="888888" w:sz="1"/>
              <w:left w:val="single" w:color="888888" w:sz="1"/>
              <w:bottom w:val="single" w:color="888888" w:sz="1"/>
              <w:right w:val="single" w:color="888888" w:sz="1"/>
            </w:tcBorders>
            <w:tcMar>
              <w:top w:type="dxa" w:w="60"/>
              <w:left w:type="dxa" w:w="120"/>
              <w:bottom w:type="dxa" w:w="60"/>
              <w:right w:type="dxa" w:w="120"/>
            </w:tcMar>
          </w:tcPr>
          <w:p>
            <w:r>
              <w:rPr>
                <w:rFonts w:ascii="Arial" w:cs="Arial" w:eastAsia="Arial" w:hAnsi="Arial"/>
                <w:sz w:val="20"/>
                <w:szCs w:val="20"/>
              </w:rPr>
              <w:t xml:space="preserve">Joshua L. Lopez</w:t>
            </w:r>
          </w:p>
        </w:tc>
      </w:tr>
      <w:tr>
        <w:tc>
          <w:tcPr>
            <w:tcW w:type="dxa" w:w="3200"/>
            <w:tcBorders>
              <w:top w:val="single" w:color="888888" w:sz="1"/>
              <w:left w:val="single" w:color="888888" w:sz="1"/>
              <w:bottom w:val="single" w:color="888888" w:sz="1"/>
              <w:right w:val="single" w:color="888888"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w:t>
            </w:r>
          </w:p>
        </w:tc>
        <w:tc>
          <w:tcPr>
            <w:tcW w:type="dxa" w:w="6160"/>
            <w:tcBorders>
              <w:top w:val="single" w:color="888888" w:sz="1"/>
              <w:left w:val="single" w:color="888888" w:sz="1"/>
              <w:bottom w:val="single" w:color="888888" w:sz="1"/>
              <w:right w:val="single" w:color="888888" w:sz="1"/>
            </w:tcBorders>
            <w:tcMar>
              <w:top w:type="dxa" w:w="60"/>
              <w:left w:type="dxa" w:w="120"/>
              <w:bottom w:type="dxa" w:w="60"/>
              <w:right w:type="dxa" w:w="120"/>
            </w:tcMar>
          </w:tcPr>
          <w:p>
            <w:r>
              <w:rPr>
                <w:rFonts w:ascii="Arial" w:cs="Arial" w:eastAsia="Arial" w:hAnsi="Arial"/>
                <w:sz w:val="20"/>
                <w:szCs w:val="20"/>
              </w:rPr>
              <w:t xml:space="preserve">DCGP.AI — Distributed Constitutional Governance Platform</w:t>
            </w:r>
          </w:p>
        </w:tc>
      </w:tr>
      <w:tr>
        <w:tc>
          <w:tcPr>
            <w:tcW w:type="dxa" w:w="3200"/>
            <w:tcBorders>
              <w:top w:val="single" w:color="888888" w:sz="1"/>
              <w:left w:val="single" w:color="888888" w:sz="1"/>
              <w:bottom w:val="single" w:color="888888" w:sz="1"/>
              <w:right w:val="single" w:color="888888" w:sz="1"/>
            </w:tcBorders>
            <w:shd w:fill="F0F4F8" w:val="clear"/>
            <w:tcMar>
              <w:top w:type="dxa" w:w="60"/>
              <w:left w:type="dxa" w:w="120"/>
              <w:bottom w:type="dxa" w:w="60"/>
              <w:right w:type="dxa" w:w="120"/>
            </w:tcMar>
          </w:tcPr>
          <w:p>
            <w:r>
              <w:rPr>
                <w:rFonts w:ascii="Arial" w:cs="Arial" w:eastAsia="Arial" w:hAnsi="Arial"/>
                <w:b/>
                <w:bCs/>
                <w:sz w:val="20"/>
                <w:szCs w:val="20"/>
              </w:rPr>
              <w:t xml:space="preserve">ADDRESS:</w:t>
            </w:r>
          </w:p>
        </w:tc>
        <w:tc>
          <w:tcPr>
            <w:tcW w:type="dxa" w:w="6160"/>
            <w:tcBorders>
              <w:top w:val="single" w:color="888888" w:sz="1"/>
              <w:left w:val="single" w:color="888888" w:sz="1"/>
              <w:bottom w:val="single" w:color="888888" w:sz="1"/>
              <w:right w:val="single" w:color="888888" w:sz="1"/>
            </w:tcBorders>
            <w:tcMar>
              <w:top w:type="dxa" w:w="60"/>
              <w:left w:type="dxa" w:w="120"/>
              <w:bottom w:type="dxa" w:w="60"/>
              <w:right w:type="dxa" w:w="120"/>
            </w:tcMar>
          </w:tcPr>
          <w:p>
            <w:r>
              <w:rPr>
                <w:rFonts w:ascii="Arial" w:cs="Arial" w:eastAsia="Arial" w:hAnsi="Arial"/>
                <w:sz w:val="20"/>
                <w:szCs w:val="20"/>
              </w:rPr>
              <w:t xml:space="preserve">Shalimar, FL</w:t>
            </w:r>
          </w:p>
        </w:tc>
      </w:tr>
      <w:tr>
        <w:tc>
          <w:tcPr>
            <w:tcW w:type="dxa" w:w="3200"/>
            <w:tcBorders>
              <w:top w:val="single" w:color="888888" w:sz="1"/>
              <w:left w:val="single" w:color="888888" w:sz="1"/>
              <w:bottom w:val="single" w:color="888888" w:sz="1"/>
              <w:right w:val="single" w:color="888888" w:sz="1"/>
            </w:tcBorders>
            <w:shd w:fill="F0F4F8" w:val="clear"/>
            <w:tcMar>
              <w:top w:type="dxa" w:w="60"/>
              <w:left w:type="dxa" w:w="120"/>
              <w:bottom w:type="dxa" w:w="60"/>
              <w:right w:type="dxa" w:w="120"/>
            </w:tcMar>
          </w:tcPr>
          <w:p>
            <w:r>
              <w:rPr>
                <w:rFonts w:ascii="Arial" w:cs="Arial" w:eastAsia="Arial" w:hAnsi="Arial"/>
                <w:b/>
                <w:bCs/>
                <w:sz w:val="20"/>
                <w:szCs w:val="20"/>
              </w:rPr>
              <w:t xml:space="preserve">CONTACT:</w:t>
            </w:r>
          </w:p>
        </w:tc>
        <w:tc>
          <w:tcPr>
            <w:tcW w:type="dxa" w:w="6160"/>
            <w:tcBorders>
              <w:top w:val="single" w:color="888888" w:sz="1"/>
              <w:left w:val="single" w:color="888888" w:sz="1"/>
              <w:bottom w:val="single" w:color="888888" w:sz="1"/>
              <w:right w:val="single" w:color="888888" w:sz="1"/>
            </w:tcBorders>
            <w:tcMar>
              <w:top w:type="dxa" w:w="60"/>
              <w:left w:type="dxa" w:w="120"/>
              <w:bottom w:type="dxa" w:w="60"/>
              <w:right w:type="dxa" w:w="120"/>
            </w:tcMar>
          </w:tcPr>
          <w:p>
            <w:r>
              <w:rPr>
                <w:rFonts w:ascii="Arial" w:cs="Arial" w:eastAsia="Arial" w:hAnsi="Arial"/>
                <w:sz w:val="20"/>
                <w:szCs w:val="20"/>
              </w:rPr>
              <w:t xml:space="preserve">joshua@docgrokhealth.com | 850.368.7638</w:t>
            </w:r>
          </w:p>
        </w:tc>
      </w:tr>
      <w:tr>
        <w:tc>
          <w:tcPr>
            <w:tcW w:type="dxa" w:w="3200"/>
            <w:tcBorders>
              <w:top w:val="single" w:color="888888" w:sz="1"/>
              <w:left w:val="single" w:color="888888" w:sz="1"/>
              <w:bottom w:val="single" w:color="888888" w:sz="1"/>
              <w:right w:val="single" w:color="888888" w:sz="1"/>
            </w:tcBorders>
            <w:shd w:fill="F0F4F8" w:val="clear"/>
            <w:tcMar>
              <w:top w:type="dxa" w:w="60"/>
              <w:left w:type="dxa" w:w="120"/>
              <w:bottom w:type="dxa" w:w="60"/>
              <w:right w:type="dxa" w:w="120"/>
            </w:tcMar>
          </w:tcPr>
          <w:p>
            <w:r>
              <w:rPr>
                <w:rFonts w:ascii="Arial" w:cs="Arial" w:eastAsia="Arial" w:hAnsi="Arial"/>
                <w:b/>
                <w:bCs/>
                <w:sz w:val="20"/>
                <w:szCs w:val="20"/>
              </w:rPr>
              <w:t xml:space="preserve">USPTO CUSTOMER NO.:</w:t>
            </w:r>
          </w:p>
        </w:tc>
        <w:tc>
          <w:tcPr>
            <w:tcW w:type="dxa" w:w="6160"/>
            <w:tcBorders>
              <w:top w:val="single" w:color="888888" w:sz="1"/>
              <w:left w:val="single" w:color="888888" w:sz="1"/>
              <w:bottom w:val="single" w:color="888888" w:sz="1"/>
              <w:right w:val="single" w:color="888888" w:sz="1"/>
            </w:tcBorders>
            <w:tcMar>
              <w:top w:type="dxa" w:w="60"/>
              <w:left w:type="dxa" w:w="120"/>
              <w:bottom w:type="dxa" w:w="60"/>
              <w:right w:type="dxa" w:w="120"/>
            </w:tcMar>
          </w:tcPr>
          <w:p>
            <w:r>
              <w:rPr>
                <w:rFonts w:ascii="Arial" w:cs="Arial" w:eastAsia="Arial" w:hAnsi="Arial"/>
                <w:sz w:val="20"/>
                <w:szCs w:val="20"/>
              </w:rPr>
              <w:t xml:space="preserve">226575</w:t>
            </w:r>
          </w:p>
        </w:tc>
      </w:tr>
      <w:tr>
        <w:tc>
          <w:tcPr>
            <w:tcW w:type="dxa" w:w="3200"/>
            <w:tcBorders>
              <w:top w:val="single" w:color="888888" w:sz="1"/>
              <w:left w:val="single" w:color="888888" w:sz="1"/>
              <w:bottom w:val="single" w:color="888888" w:sz="1"/>
              <w:right w:val="single" w:color="888888" w:sz="1"/>
            </w:tcBorders>
            <w:shd w:fill="F0F4F8" w:val="clear"/>
            <w:tcMar>
              <w:top w:type="dxa" w:w="60"/>
              <w:left w:type="dxa" w:w="120"/>
              <w:bottom w:type="dxa" w:w="60"/>
              <w:right w:type="dxa" w:w="120"/>
            </w:tcMar>
          </w:tcPr>
          <w:p>
            <w:r>
              <w:rPr>
                <w:rFonts w:ascii="Arial" w:cs="Arial" w:eastAsia="Arial" w:hAnsi="Arial"/>
                <w:b/>
                <w:bCs/>
                <w:sz w:val="20"/>
                <w:szCs w:val="20"/>
              </w:rPr>
              <w:t xml:space="preserve">FILING DATE:</w:t>
            </w:r>
          </w:p>
        </w:tc>
        <w:tc>
          <w:tcPr>
            <w:tcW w:type="dxa" w:w="6160"/>
            <w:tcBorders>
              <w:top w:val="single" w:color="888888" w:sz="1"/>
              <w:left w:val="single" w:color="888888" w:sz="1"/>
              <w:bottom w:val="single" w:color="888888" w:sz="1"/>
              <w:right w:val="single" w:color="888888" w:sz="1"/>
            </w:tcBorders>
            <w:tcMar>
              <w:top w:type="dxa" w:w="60"/>
              <w:left w:type="dxa" w:w="120"/>
              <w:bottom w:type="dxa" w:w="60"/>
              <w:right w:type="dxa" w:w="120"/>
            </w:tcMar>
          </w:tcPr>
          <w:p>
            <w:r>
              <w:rPr>
                <w:rFonts w:ascii="Arial" w:cs="Arial" w:eastAsia="Arial" w:hAnsi="Arial"/>
                <w:sz w:val="20"/>
                <w:szCs w:val="20"/>
              </w:rPr>
              <w:t xml:space="preserve">April 2026</w:t>
            </w:r>
          </w:p>
        </w:tc>
      </w:tr>
      <w:tr>
        <w:tc>
          <w:tcPr>
            <w:tcW w:type="dxa" w:w="3200"/>
            <w:tcBorders>
              <w:top w:val="single" w:color="888888" w:sz="1"/>
              <w:left w:val="single" w:color="888888" w:sz="1"/>
              <w:bottom w:val="single" w:color="888888" w:sz="1"/>
              <w:right w:val="single" w:color="888888" w:sz="1"/>
            </w:tcBorders>
            <w:shd w:fill="F0F4F8" w:val="clear"/>
            <w:tcMar>
              <w:top w:type="dxa" w:w="60"/>
              <w:left w:type="dxa" w:w="120"/>
              <w:bottom w:type="dxa" w:w="60"/>
              <w:right w:type="dxa" w:w="120"/>
            </w:tcMar>
          </w:tcPr>
          <w:p>
            <w:r>
              <w:rPr>
                <w:rFonts w:ascii="Arial" w:cs="Arial" w:eastAsia="Arial" w:hAnsi="Arial"/>
                <w:b/>
                <w:bCs/>
                <w:sz w:val="20"/>
                <w:szCs w:val="20"/>
              </w:rPr>
              <w:t xml:space="preserve">APPLICATION TYPE:</w:t>
            </w:r>
          </w:p>
        </w:tc>
        <w:tc>
          <w:tcPr>
            <w:tcW w:type="dxa" w:w="6160"/>
            <w:tcBorders>
              <w:top w:val="single" w:color="888888" w:sz="1"/>
              <w:left w:val="single" w:color="888888" w:sz="1"/>
              <w:bottom w:val="single" w:color="888888" w:sz="1"/>
              <w:right w:val="single" w:color="888888" w:sz="1"/>
            </w:tcBorders>
            <w:tcMar>
              <w:top w:type="dxa" w:w="60"/>
              <w:left w:type="dxa" w:w="120"/>
              <w:bottom w:type="dxa" w:w="60"/>
              <w:right w:type="dxa" w:w="120"/>
            </w:tcMar>
          </w:tcPr>
          <w:p>
            <w:r>
              <w:rPr>
                <w:rFonts w:ascii="Arial" w:cs="Arial" w:eastAsia="Arial" w:hAnsi="Arial"/>
                <w:sz w:val="20"/>
                <w:szCs w:val="20"/>
              </w:rPr>
              <w:t xml:space="preserve">Provisional (35 U.S.C. §111(b))</w:t>
            </w:r>
          </w:p>
        </w:tc>
      </w:tr>
      <w:tr>
        <w:tc>
          <w:tcPr>
            <w:tcW w:type="dxa" w:w="3200"/>
            <w:tcBorders>
              <w:top w:val="single" w:color="888888" w:sz="1"/>
              <w:left w:val="single" w:color="888888" w:sz="1"/>
              <w:bottom w:val="single" w:color="888888" w:sz="1"/>
              <w:right w:val="single" w:color="888888" w:sz="1"/>
            </w:tcBorders>
            <w:shd w:fill="F0F4F8" w:val="clear"/>
            <w:tcMar>
              <w:top w:type="dxa" w:w="60"/>
              <w:left w:type="dxa" w:w="120"/>
              <w:bottom w:type="dxa" w:w="60"/>
              <w:right w:type="dxa" w:w="120"/>
            </w:tcMar>
          </w:tcPr>
          <w:p>
            <w:r>
              <w:rPr>
                <w:rFonts w:ascii="Arial" w:cs="Arial" w:eastAsia="Arial" w:hAnsi="Arial"/>
                <w:b/>
                <w:bCs/>
                <w:sz w:val="20"/>
                <w:szCs w:val="20"/>
              </w:rPr>
              <w:t xml:space="preserve">ENTITY STATUS:</w:t>
            </w:r>
          </w:p>
        </w:tc>
        <w:tc>
          <w:tcPr>
            <w:tcW w:type="dxa" w:w="6160"/>
            <w:tcBorders>
              <w:top w:val="single" w:color="888888" w:sz="1"/>
              <w:left w:val="single" w:color="888888" w:sz="1"/>
              <w:bottom w:val="single" w:color="888888" w:sz="1"/>
              <w:right w:val="single" w:color="888888" w:sz="1"/>
            </w:tcBorders>
            <w:tcMar>
              <w:top w:type="dxa" w:w="60"/>
              <w:left w:type="dxa" w:w="120"/>
              <w:bottom w:type="dxa" w:w="60"/>
              <w:right w:type="dxa" w:w="120"/>
            </w:tcMar>
          </w:tcPr>
          <w:p>
            <w:r>
              <w:rPr>
                <w:rFonts w:ascii="Arial" w:cs="Arial" w:eastAsia="Arial" w:hAnsi="Arial"/>
                <w:sz w:val="20"/>
                <w:szCs w:val="20"/>
              </w:rPr>
              <w:t xml:space="preserve">Micro Entity</w:t>
            </w:r>
          </w:p>
        </w:tc>
      </w:tr>
      <w:tr>
        <w:tc>
          <w:tcPr>
            <w:tcW w:type="dxa" w:w="3200"/>
            <w:tcBorders>
              <w:top w:val="single" w:color="888888" w:sz="1"/>
              <w:left w:val="single" w:color="888888" w:sz="1"/>
              <w:bottom w:val="single" w:color="888888" w:sz="1"/>
              <w:right w:val="single" w:color="888888" w:sz="1"/>
            </w:tcBorders>
            <w:shd w:fill="F0F4F8" w:val="clear"/>
            <w:tcMar>
              <w:top w:type="dxa" w:w="60"/>
              <w:left w:type="dxa" w:w="120"/>
              <w:bottom w:type="dxa" w:w="60"/>
              <w:right w:type="dxa" w:w="120"/>
            </w:tcMar>
          </w:tcPr>
          <w:p>
            <w:r>
              <w:rPr>
                <w:rFonts w:ascii="Arial" w:cs="Arial" w:eastAsia="Arial" w:hAnsi="Arial"/>
                <w:b/>
                <w:bCs/>
                <w:sz w:val="20"/>
                <w:szCs w:val="20"/>
              </w:rPr>
              <w:t xml:space="preserve">ASSIGNEE:</w:t>
            </w:r>
          </w:p>
        </w:tc>
        <w:tc>
          <w:tcPr>
            <w:tcW w:type="dxa" w:w="6160"/>
            <w:tcBorders>
              <w:top w:val="single" w:color="888888" w:sz="1"/>
              <w:left w:val="single" w:color="888888" w:sz="1"/>
              <w:bottom w:val="single" w:color="888888" w:sz="1"/>
              <w:right w:val="single" w:color="888888" w:sz="1"/>
            </w:tcBorders>
            <w:tcMar>
              <w:top w:type="dxa" w:w="60"/>
              <w:left w:type="dxa" w:w="120"/>
              <w:bottom w:type="dxa" w:w="60"/>
              <w:right w:type="dxa" w:w="120"/>
            </w:tcMar>
          </w:tcPr>
          <w:p>
            <w:r>
              <w:rPr>
                <w:rFonts w:ascii="Arial" w:cs="Arial" w:eastAsia="Arial" w:hAnsi="Arial"/>
                <w:sz w:val="20"/>
                <w:szCs w:val="20"/>
              </w:rPr>
              <w:t xml:space="preserve">DCGP.AI LLC</w:t>
            </w:r>
          </w:p>
        </w:tc>
      </w:tr>
    </w:tbl>
    <w:p>
      <w:pPr>
        <w:spacing w:after="240"/>
      </w:pPr>
      <w:r>
        <w:rPr>
          <w:rFonts w:ascii="Arial" w:cs="Arial" w:eastAsia="Arial" w:hAnsi="Arial"/>
          <w:sz w:val="4"/>
          <w:szCs w:val="4"/>
        </w:rPr>
        <w:t xml:space="preserve"/>
      </w:r>
    </w:p>
    <w:p>
      <w:pPr>
        <w:pBdr>
          <w:bottom w:val="single" w:color="1B2A4A" w:sz="6" w:space="1"/>
        </w:pBdr>
        <w:spacing w:after="120" w:before="120"/>
      </w:pPr>
    </w:p>
    <w:p>
      <w:pPr>
        <w:spacing w:after="120"/>
      </w:pPr>
      <w:r>
        <w:rPr>
          <w:rFonts w:ascii="Arial" w:cs="Arial" w:eastAsia="Arial" w:hAnsi="Arial"/>
          <w:sz w:val="4"/>
          <w:szCs w:val="4"/>
        </w:rPr>
        <w:t xml:space="preserve"/>
      </w:r>
    </w:p>
    <w:p>
      <w:pPr>
        <w:spacing w:after="80"/>
        <w:jc w:val="center"/>
      </w:pPr>
      <w:r>
        <w:rPr>
          <w:rFonts w:ascii="Arial" w:cs="Arial" w:eastAsia="Arial" w:hAnsi="Arial"/>
          <w:b/>
          <w:bCs/>
          <w:sz w:val="18"/>
          <w:szCs w:val="18"/>
        </w:rPr>
        <w:t xml:space="preserve">CONFIDENTIAL — PATENT PENDING — ALL RIGHTS RESERVED</w:t>
      </w:r>
    </w:p>
    <w:p>
      <w:pPr>
        <w:spacing w:after="80"/>
        <w:jc w:val="center"/>
      </w:pPr>
      <w:r>
        <w:rPr>
          <w:rFonts w:ascii="Arial" w:cs="Arial" w:eastAsia="Arial" w:hAnsi="Arial"/>
          <w:b/>
          <w:bCs/>
          <w:sz w:val="18"/>
          <w:szCs w:val="18"/>
        </w:rPr>
        <w:t xml:space="preserve">© 2026 Joshua L. Lopez and DCGP.AI LLC</w:t>
      </w:r>
    </w:p>
    <w:p>
      <w:pPr>
        <w:spacing w:after="80"/>
        <w:jc w:val="center"/>
      </w:pPr>
      <w:r>
        <w:rPr>
          <w:rFonts w:ascii="Arial" w:cs="Arial" w:eastAsia="Arial" w:hAnsi="Arial"/>
          <w:color w:val="888888"/>
          <w:sz w:val="16"/>
          <w:szCs w:val="16"/>
        </w:rPr>
        <w:t xml:space="preserve">Reproduction prohibited without written authorization</w:t>
      </w:r>
    </w:p>
    <w:p>
      <w:r>
        <w:br w:type="page"/>
      </w:r>
    </w:p>
    <w:p>
      <w:pPr>
        <w:pStyle w:val="Heading1"/>
        <w:spacing w:after="140" w:before="360"/>
      </w:pPr>
      <w:r>
        <w:rPr>
          <w:rFonts w:ascii="Arial" w:cs="Arial" w:eastAsia="Arial" w:hAnsi="Arial"/>
          <w:b/>
          <w:bCs/>
          <w:sz w:val="26"/>
          <w:szCs w:val="26"/>
        </w:rPr>
        <w:t xml:space="preserve">CROSS-REFERENCE TO RELATED APPLICATIONS</w:t>
      </w:r>
    </w:p>
    <w:p>
      <w:pPr>
        <w:spacing w:after="110" w:line="276"/>
        <w:jc w:val="left"/>
      </w:pPr>
      <w:r>
        <w:rPr>
          <w:rFonts w:ascii="Arial" w:cs="Arial" w:eastAsia="Arial" w:hAnsi="Arial"/>
          <w:sz w:val="21"/>
          <w:szCs w:val="21"/>
        </w:rPr>
        <w:t xml:space="preserve">[0001] This application is a continuation-in-part of U.S. Utility Patent Application No. 19/555,951 (AURAL-M Architecture), filed March 4, 2026. This application also claims the benefit of and is related to the following applications, the entire contents of each of which are incorporated herein by reference:</w:t>
      </w:r>
    </w:p>
    <w:p>
      <w:pPr>
        <w:pStyle w:val="ListParagraph"/>
        <w:numPr>
          <w:ilvl w:val="0"/>
          <w:numId w:val="2"/>
        </w:numPr>
        <w:spacing w:after="60" w:line="276"/>
      </w:pPr>
      <w:r>
        <w:rPr>
          <w:rFonts w:ascii="Arial" w:cs="Arial" w:eastAsia="Arial" w:hAnsi="Arial"/>
          <w:sz w:val="21"/>
          <w:szCs w:val="21"/>
        </w:rPr>
        <w:t xml:space="preserve">U.S. Patent Application No. 19/567,678 (Lopez Logical Qubit)</w:t>
      </w:r>
    </w:p>
    <w:p>
      <w:pPr>
        <w:pStyle w:val="ListParagraph"/>
        <w:numPr>
          <w:ilvl w:val="0"/>
          <w:numId w:val="2"/>
        </w:numPr>
        <w:spacing w:after="60" w:line="276"/>
      </w:pPr>
      <w:r>
        <w:rPr>
          <w:rFonts w:ascii="Arial" w:cs="Arial" w:eastAsia="Arial" w:hAnsi="Arial"/>
          <w:sz w:val="21"/>
          <w:szCs w:val="21"/>
        </w:rPr>
        <w:t xml:space="preserve">U.S. Patent Application No. 19/569,785 (Admissible Projection Operator)</w:t>
      </w:r>
    </w:p>
    <w:p>
      <w:pPr>
        <w:pStyle w:val="ListParagraph"/>
        <w:numPr>
          <w:ilvl w:val="0"/>
          <w:numId w:val="2"/>
        </w:numPr>
        <w:spacing w:after="60" w:line="276"/>
      </w:pPr>
      <w:r>
        <w:rPr>
          <w:rFonts w:ascii="Arial" w:cs="Arial" w:eastAsia="Arial" w:hAnsi="Arial"/>
          <w:sz w:val="21"/>
          <w:szCs w:val="21"/>
        </w:rPr>
        <w:t xml:space="preserve">U.S. Provisional Application for Governed Quantum Integer Factorization (co-filed April 2026)</w:t>
      </w:r>
    </w:p>
    <w:p>
      <w:pPr>
        <w:pStyle w:val="ListParagraph"/>
        <w:numPr>
          <w:ilvl w:val="0"/>
          <w:numId w:val="2"/>
        </w:numPr>
        <w:spacing w:after="60" w:line="276"/>
      </w:pPr>
      <w:r>
        <w:rPr>
          <w:rFonts w:ascii="Arial" w:cs="Arial" w:eastAsia="Arial" w:hAnsi="Arial"/>
          <w:sz w:val="21"/>
          <w:szCs w:val="21"/>
        </w:rPr>
        <w:t xml:space="preserve">Orthogonal Governance Decoherence Defense Provisional (April 2026)</w:t>
      </w:r>
    </w:p>
    <w:p>
      <w:pPr>
        <w:pStyle w:val="ListParagraph"/>
        <w:numPr>
          <w:ilvl w:val="0"/>
          <w:numId w:val="2"/>
        </w:numPr>
        <w:spacing w:after="60" w:line="276"/>
      </w:pPr>
      <w:r>
        <w:rPr>
          <w:rFonts w:ascii="Arial" w:cs="Arial" w:eastAsia="Arial" w:hAnsi="Arial"/>
          <w:sz w:val="21"/>
          <w:szCs w:val="21"/>
        </w:rPr>
        <w:t xml:space="preserve">Threefold Corded Projector Provisional (April 2026)</w:t>
      </w:r>
    </w:p>
    <w:p>
      <w:pPr>
        <w:pStyle w:val="ListParagraph"/>
        <w:numPr>
          <w:ilvl w:val="0"/>
          <w:numId w:val="2"/>
        </w:numPr>
        <w:spacing w:after="60" w:line="276"/>
      </w:pPr>
      <w:r>
        <w:rPr>
          <w:rFonts w:ascii="Arial" w:cs="Arial" w:eastAsia="Arial" w:hAnsi="Arial"/>
          <w:sz w:val="21"/>
          <w:szCs w:val="21"/>
        </w:rPr>
        <w:t xml:space="preserve">Super-Linear Convergence Response Provisional (April 2026)</w:t>
      </w:r>
    </w:p>
    <w:p>
      <w:pPr>
        <w:pStyle w:val="ListParagraph"/>
        <w:numPr>
          <w:ilvl w:val="0"/>
          <w:numId w:val="2"/>
        </w:numPr>
        <w:spacing w:after="60" w:line="276"/>
      </w:pPr>
      <w:r>
        <w:rPr>
          <w:rFonts w:ascii="Arial" w:cs="Arial" w:eastAsia="Arial" w:hAnsi="Arial"/>
          <w:sz w:val="21"/>
          <w:szCs w:val="21"/>
        </w:rPr>
        <w:t xml:space="preserve">Field-Mediated Spontaneous Synchronization Provisional (April 2026)</w:t>
      </w:r>
    </w:p>
    <w:p>
      <w:pPr>
        <w:pStyle w:val="ListParagraph"/>
        <w:numPr>
          <w:ilvl w:val="0"/>
          <w:numId w:val="2"/>
        </w:numPr>
        <w:spacing w:after="60" w:line="276"/>
      </w:pPr>
      <w:r>
        <w:rPr>
          <w:rFonts w:ascii="Arial" w:cs="Arial" w:eastAsia="Arial" w:hAnsi="Arial"/>
          <w:sz w:val="21"/>
          <w:szCs w:val="21"/>
        </w:rPr>
        <w:t xml:space="preserve">Cross-Domain Echo Operator Transmission Provisional (April 2026)</w:t>
      </w:r>
    </w:p>
    <w:p>
      <w:pPr>
        <w:pStyle w:val="ListParagraph"/>
        <w:numPr>
          <w:ilvl w:val="0"/>
          <w:numId w:val="2"/>
        </w:numPr>
        <w:spacing w:after="60" w:line="276"/>
      </w:pPr>
      <w:r>
        <w:rPr>
          <w:rFonts w:ascii="Arial" w:cs="Arial" w:eastAsia="Arial" w:hAnsi="Arial"/>
          <w:sz w:val="21"/>
          <w:szCs w:val="21"/>
        </w:rPr>
        <w:t xml:space="preserve">Fused GEE/GSS Multi-Agent Optimization Provisional (April 2026)</w:t>
      </w:r>
    </w:p>
    <w:p>
      <w:pPr>
        <w:pStyle w:val="ListParagraph"/>
        <w:numPr>
          <w:ilvl w:val="0"/>
          <w:numId w:val="2"/>
        </w:numPr>
        <w:spacing w:after="60" w:line="276"/>
      </w:pPr>
      <w:r>
        <w:rPr>
          <w:rFonts w:ascii="Arial" w:cs="Arial" w:eastAsia="Arial" w:hAnsi="Arial"/>
          <w:sz w:val="21"/>
          <w:szCs w:val="21"/>
        </w:rPr>
        <w:t xml:space="preserve">Viability-Constrained VQA for Transmon Processors Provisional (April 2026)</w:t>
      </w:r>
    </w:p>
    <w:p>
      <w:pPr>
        <w:pStyle w:val="ListParagraph"/>
        <w:numPr>
          <w:ilvl w:val="0"/>
          <w:numId w:val="2"/>
        </w:numPr>
        <w:spacing w:after="60" w:line="276"/>
      </w:pPr>
      <w:r>
        <w:rPr>
          <w:rFonts w:ascii="Arial" w:cs="Arial" w:eastAsia="Arial" w:hAnsi="Arial"/>
          <w:sz w:val="21"/>
          <w:szCs w:val="21"/>
        </w:rPr>
        <w:t xml:space="preserve">Dual-Kernel Viability Governance Provisional (April 2026)</w:t>
      </w:r>
    </w:p>
    <w:p>
      <w:pPr>
        <w:pStyle w:val="ListParagraph"/>
        <w:numPr>
          <w:ilvl w:val="0"/>
          <w:numId w:val="2"/>
        </w:numPr>
        <w:spacing w:after="60" w:line="276"/>
      </w:pPr>
      <w:r>
        <w:rPr>
          <w:rFonts w:ascii="Arial" w:cs="Arial" w:eastAsia="Arial" w:hAnsi="Arial"/>
          <w:sz w:val="21"/>
          <w:szCs w:val="21"/>
        </w:rPr>
        <w:t xml:space="preserve">Echo Operator Provisional (filed March 21, 2026)</w:t>
      </w:r>
    </w:p>
    <w:p>
      <w:pPr>
        <w:pStyle w:val="ListParagraph"/>
        <w:numPr>
          <w:ilvl w:val="0"/>
          <w:numId w:val="2"/>
        </w:numPr>
        <w:spacing w:after="60" w:line="276"/>
      </w:pPr>
      <w:r>
        <w:rPr>
          <w:rFonts w:ascii="Arial" w:cs="Arial" w:eastAsia="Arial" w:hAnsi="Arial"/>
          <w:sz w:val="21"/>
          <w:szCs w:val="21"/>
        </w:rPr>
        <w:t xml:space="preserve">Governance Thermodynamics Provisional (filed March 21, 2026)</w:t>
      </w:r>
    </w:p>
    <w:p>
      <w:pPr>
        <w:pStyle w:val="ListParagraph"/>
        <w:numPr>
          <w:ilvl w:val="0"/>
          <w:numId w:val="2"/>
        </w:numPr>
        <w:spacing w:after="60" w:line="276"/>
      </w:pPr>
      <w:r>
        <w:rPr>
          <w:rFonts w:ascii="Arial" w:cs="Arial" w:eastAsia="Arial" w:hAnsi="Arial"/>
          <w:sz w:val="21"/>
          <w:szCs w:val="21"/>
        </w:rPr>
        <w:t xml:space="preserve">Governance Relativity Provisional (filed March 21, 2026)</w:t>
      </w:r>
    </w:p>
    <w:p>
      <w:pPr>
        <w:pStyle w:val="ListParagraph"/>
        <w:numPr>
          <w:ilvl w:val="0"/>
          <w:numId w:val="2"/>
        </w:numPr>
        <w:spacing w:after="60" w:line="276"/>
      </w:pPr>
      <w:r>
        <w:rPr>
          <w:rFonts w:ascii="Arial" w:cs="Arial" w:eastAsia="Arial" w:hAnsi="Arial"/>
          <w:sz w:val="21"/>
          <w:szCs w:val="21"/>
        </w:rPr>
        <w:t xml:space="preserve">VeriTruth Nonprovisional (filed March 21, 2026)</w:t>
      </w:r>
    </w:p>
    <w:p>
      <w:pPr>
        <w:pStyle w:val="ListParagraph"/>
        <w:numPr>
          <w:ilvl w:val="0"/>
          <w:numId w:val="2"/>
        </w:numPr>
        <w:spacing w:after="60" w:line="276"/>
      </w:pPr>
      <w:r>
        <w:rPr>
          <w:rFonts w:ascii="Arial" w:cs="Arial" w:eastAsia="Arial" w:hAnsi="Arial"/>
          <w:sz w:val="21"/>
          <w:szCs w:val="21"/>
        </w:rPr>
        <w:t xml:space="preserve">Lopez Riemannian Governance Locus Provisional (filed March 21, 2026)</w:t>
      </w:r>
    </w:p>
    <w:p>
      <w:pPr>
        <w:pStyle w:val="ListParagraph"/>
        <w:numPr>
          <w:ilvl w:val="0"/>
          <w:numId w:val="2"/>
        </w:numPr>
        <w:spacing w:after="60" w:line="276"/>
      </w:pPr>
      <w:r>
        <w:rPr>
          <w:rFonts w:ascii="Arial" w:cs="Arial" w:eastAsia="Arial" w:hAnsi="Arial"/>
          <w:sz w:val="21"/>
          <w:szCs w:val="21"/>
        </w:rPr>
        <w:t xml:space="preserve">And 90+ prior filings by the same inventor directed to governed dynamical systems and quantum governance and obligation dynamics and admissible projection architectures</w:t>
      </w:r>
    </w:p>
    <w:p>
      <w:pPr>
        <w:spacing w:after="110" w:line="276"/>
        <w:jc w:val="left"/>
      </w:pPr>
      <w:r>
        <w:rPr>
          <w:rFonts w:ascii="Arial" w:cs="Arial" w:eastAsia="Arial" w:hAnsi="Arial"/>
          <w:sz w:val="21"/>
          <w:szCs w:val="21"/>
        </w:rPr>
        <w:t xml:space="preserve">[0002] CPC Classification: B64G 1/40 — Spacecraft Propulsion; G06N 10/00 — Quantum Computing; F03H 99/00 — Other Propulsion Systems; G06N 3/08 — AI Governance; G05B 13/04 — Adaptive Control; H01S 1/00 — Masers and Coherent Emission; G02B 17/00 — Concentrating Optical Systems; G06F 17/10 — Mathematical Physics</w:t>
      </w:r>
    </w:p>
    <w:p>
      <w:r>
        <w:br w:type="page"/>
      </w:r>
    </w:p>
    <w:p>
      <w:pPr>
        <w:pStyle w:val="Heading1"/>
        <w:spacing w:after="140" w:before="360"/>
      </w:pPr>
      <w:r>
        <w:rPr>
          <w:rFonts w:ascii="Arial" w:cs="Arial" w:eastAsia="Arial" w:hAnsi="Arial"/>
          <w:b/>
          <w:bCs/>
          <w:sz w:val="26"/>
          <w:szCs w:val="26"/>
        </w:rPr>
        <w:t xml:space="preserve">ABSTRACT OF THE DISCLOSURE</w:t>
      </w:r>
    </w:p>
    <w:p>
      <w:pPr>
        <w:spacing w:after="110" w:line="276"/>
        <w:jc w:val="left"/>
      </w:pPr>
      <w:r>
        <w:rPr>
          <w:rFonts w:ascii="Arial" w:cs="Arial" w:eastAsia="Arial" w:hAnsi="Arial"/>
          <w:sz w:val="21"/>
          <w:szCs w:val="21"/>
        </w:rPr>
        <w:t xml:space="preserve">[0003] A four-stage quantum turbine propulsion system and method are disclosed for producing spacecraft thrust without consuming onboard propellant by harvesting stellar electromagnetic radiation as a decoherence fuel source and converting it to directed coherent photon emission through a constitutionally governed quantum register. The system comprises a concentrating decoherence intake that collects stellar radiation from a parabolic reflector and focuses it onto a governed quantum register at a focal point where stellar photons at optical frequencies impinge as decoherence events providing approximately one hundred thousand times more energy per event than microwave frequency qubit transitions. A governed obligation compression stage converts the absorbed decoherence to governance authority through a five phase thermodynamic obligation cycle operating at Lopez-Carnot efficiency. A super-linear ignition stage triggers efficient coherent emission when the governed register crosses a critical fidelity threshold producing a phase transition in output quality. A cascaded coherent cavity nozzle comprising multiple governed resonant cavities in series amplifies the directed photon emission with total output power scaling as the square of the number of cascade stages.</w:t>
      </w:r>
    </w:p>
    <w:p>
      <w:pPr>
        <w:spacing w:after="110" w:line="276"/>
        <w:jc w:val="left"/>
      </w:pPr>
      <w:r>
        <w:rPr>
          <w:rFonts w:ascii="Arial" w:cs="Arial" w:eastAsia="Arial" w:hAnsi="Arial"/>
          <w:sz w:val="21"/>
          <w:szCs w:val="21"/>
        </w:rPr>
        <w:t xml:space="preserve">[0004] The system employs a double-loop constitutional constraint governance architecture in which a classical outer loop enforces polyhedral viability constraints between emission cycles and a quantum inner loop constructs a governance Hamiltonian in the orthogonal complement of the environmental decoherence operator subspace such that the governance signal has zero coupling to decoherence channels. The system exhibits infinite specific impulse as no onboard propellant is consumed and an increasing thrust profile as recursive signal-to-noise ratio compounding strengthens the governance field with each survived decoherence cycle and universal fuel availability as the decoherence sources including cosmic microwave background radiation and cosmic rays and quantum vacuum fluctuations exist everywhere in the observable universe. Numerical analysis demonstrates that a fifty meter concentrating dish with a ten stage governed cascade nozzle produces seven hundred fifty seven milliNewtons of thrust exceeding the NASA NSTAR ion drive by a factor of eight with zero propellant consumption and a Mars transit time of approximately sixty three days for a one hundred kilogram probe.</w:t>
      </w:r>
    </w:p>
    <w:p>
      <w:pPr>
        <w:pStyle w:val="Heading1"/>
        <w:spacing w:after="140" w:before="360"/>
      </w:pPr>
      <w:r>
        <w:rPr>
          <w:rFonts w:ascii="Arial" w:cs="Arial" w:eastAsia="Arial" w:hAnsi="Arial"/>
          <w:b/>
          <w:bCs/>
          <w:sz w:val="26"/>
          <w:szCs w:val="26"/>
        </w:rPr>
        <w:t xml:space="preserve">FIELD OF THE INVENTION</w:t>
      </w:r>
    </w:p>
    <w:p>
      <w:pPr>
        <w:spacing w:after="110" w:line="276"/>
        <w:jc w:val="left"/>
      </w:pPr>
      <w:r>
        <w:rPr>
          <w:rFonts w:ascii="Arial" w:cs="Arial" w:eastAsia="Arial" w:hAnsi="Arial"/>
          <w:sz w:val="21"/>
          <w:szCs w:val="21"/>
        </w:rPr>
        <w:t xml:space="preserve">[0005] The present invention relates to spacecraft propulsion and quantum computing and quantum thermodynamics and governed dynamical systems and coherent photon emission and stellar radiation harvesting and cascaded optical cavities and concentrating collector optics and constitutional constraint governance of energy conversion systems. More particularly the invention pertains to a four-stage propulsion system that converts stellar electromagnetic radiation into directed spacecraft thrust through a governed quantum register operating under double-loop constitutional constraint governance with orthogonal decoherence defense and recursive signal-to-noise ratio compounding and field-mediated register synchronization without consuming onboard propellant.</w:t>
      </w:r>
    </w:p>
    <w:p>
      <w:pPr>
        <w:pStyle w:val="Heading1"/>
        <w:spacing w:after="140" w:before="360"/>
      </w:pPr>
      <w:r>
        <w:rPr>
          <w:rFonts w:ascii="Arial" w:cs="Arial" w:eastAsia="Arial" w:hAnsi="Arial"/>
          <w:b/>
          <w:bCs/>
          <w:sz w:val="26"/>
          <w:szCs w:val="26"/>
        </w:rPr>
        <w:t xml:space="preserve">BACKGROUND OF THE INVENTION</w:t>
      </w:r>
    </w:p>
    <w:p>
      <w:pPr>
        <w:spacing w:after="110" w:line="276"/>
        <w:jc w:val="left"/>
      </w:pPr>
      <w:r>
        <w:rPr>
          <w:rFonts w:ascii="Arial" w:cs="Arial" w:eastAsia="Arial" w:hAnsi="Arial"/>
          <w:sz w:val="4"/>
          <w:szCs w:val="4"/>
        </w:rPr>
        <w:t xml:space="preserve"/>
      </w:r>
    </w:p>
    <w:p>
      <w:pPr>
        <w:spacing w:after="200"/>
        <w:jc w:val="center"/>
      </w:pPr>
      <w:r>
        <w:rPr>
          <w:rFonts w:ascii="Arial" w:cs="Arial" w:eastAsia="Arial" w:hAnsi="Arial"/>
          <w:b/>
          <w:bCs/>
          <w:sz w:val="22"/>
          <w:szCs w:val="22"/>
        </w:rPr>
        <w:t xml:space="preserve">PART 1 — THE GOVERNED DECOHERENCE HARVESTING MECHANISM</w:t>
      </w:r>
    </w:p>
    <w:p>
      <w:pPr>
        <w:pStyle w:val="Heading2"/>
        <w:spacing w:after="120" w:before="260"/>
      </w:pPr>
      <w:r>
        <w:rPr>
          <w:rFonts w:ascii="Arial" w:cs="Arial" w:eastAsia="Arial" w:hAnsi="Arial"/>
          <w:b/>
          <w:bCs/>
          <w:sz w:val="23"/>
          <w:szCs w:val="23"/>
        </w:rPr>
        <w:t xml:space="preserve">The Propellant Problem</w:t>
      </w:r>
    </w:p>
    <w:p>
      <w:pPr>
        <w:spacing w:after="110" w:line="276"/>
        <w:jc w:val="left"/>
      </w:pPr>
      <w:r>
        <w:rPr>
          <w:rFonts w:ascii="Arial" w:cs="Arial" w:eastAsia="Arial" w:hAnsi="Arial"/>
          <w:sz w:val="21"/>
          <w:szCs w:val="21"/>
        </w:rPr>
        <w:t xml:space="preserve">[0006] All existing spacecraft propulsion systems consume finite onboard propellant. Chemical rockets expel combustion products at high velocity but carry enormous fuel mass fractions that limit payload capacity and mission duration. Ion drives including the NASA NSTAR thruster that propelled the Dawn spacecraft and the NEXT-C thruster expel ionized xenon or krypton providing higher specific impulse than chemical rockets but still requiring onboard propellant stores that are exhausted after finite operational lifetimes. The NSTAR thruster produces ninety two milliNewtons of thrust and carries four hundred twenty five kilograms of xenon propellant with an operational lifetime of approximately thirty thousand hours. Solar sails capture photon momentum from stellar radiation without consuming propellant but produce extremely small thrust of approximately nine microNewtons per square meter and the thrust diminishes with the square of distance from the star rendering them ineffective for deep space and interstellar missions.</w:t>
      </w:r>
    </w:p>
    <w:p>
      <w:pPr>
        <w:spacing w:after="110" w:line="276"/>
        <w:jc w:val="left"/>
      </w:pPr>
      <w:r>
        <w:rPr>
          <w:rFonts w:ascii="Arial" w:cs="Arial" w:eastAsia="Arial" w:hAnsi="Arial"/>
          <w:sz w:val="21"/>
          <w:szCs w:val="21"/>
        </w:rPr>
        <w:t xml:space="preserve">[0007] The fundamental limitation shared by all existing propulsion systems is thermodynamic. These systems convert stored energy into directed kinetic energy through mass expulsion. When the stored energy or expellable mass is exhausted thrust ceases. For interstellar missions requiring centuries or millennia of continuous thrust no existing propulsion architecture is viable.</w:t>
      </w:r>
    </w:p>
    <w:p>
      <w:pPr>
        <w:pStyle w:val="Heading2"/>
        <w:spacing w:after="120" w:before="260"/>
      </w:pPr>
      <w:r>
        <w:rPr>
          <w:rFonts w:ascii="Arial" w:cs="Arial" w:eastAsia="Arial" w:hAnsi="Arial"/>
          <w:b/>
          <w:bCs/>
          <w:sz w:val="23"/>
          <w:szCs w:val="23"/>
        </w:rPr>
        <w:t xml:space="preserve">The Space Decoherence Environment</w:t>
      </w:r>
    </w:p>
    <w:p>
      <w:pPr>
        <w:spacing w:after="110" w:line="276"/>
        <w:jc w:val="left"/>
      </w:pPr>
      <w:r>
        <w:rPr>
          <w:rFonts w:ascii="Arial" w:cs="Arial" w:eastAsia="Arial" w:hAnsi="Arial"/>
          <w:sz w:val="21"/>
          <w:szCs w:val="21"/>
        </w:rPr>
        <w:t xml:space="preserve">[0008] The space environment is pervaded by quantum decoherence sources that are conventionally treated as unwanted noise. These sources include cosmic microwave background radiation at two point seven two five Kelvin consisting of approximately four hundred eleven photons per cubic centimeter present everywhere in the observable universe. Solar wind consisting of approximately seven million particles per cubic meter at one astronomical unit from the sun traveling at approximately four hundred kilometers per second. Cosmic rays at approximately ten thousand particles per square meter per second at energies averaging approximately one gigaelectronvolt present in interstellar space. Quantum vacuum fluctuations present everywhere by definition. No prior art treats environmental quantum decoherence as a harvestable energy source for propulsion.</w:t>
      </w:r>
    </w:p>
    <w:p>
      <w:pPr>
        <w:pStyle w:val="Heading2"/>
        <w:spacing w:after="120" w:before="260"/>
      </w:pPr>
      <w:r>
        <w:rPr>
          <w:rFonts w:ascii="Arial" w:cs="Arial" w:eastAsia="Arial" w:hAnsi="Arial"/>
          <w:b/>
          <w:bCs/>
          <w:sz w:val="23"/>
          <w:szCs w:val="23"/>
        </w:rPr>
        <w:t xml:space="preserve">The Solar Energy Paradox</w:t>
      </w:r>
    </w:p>
    <w:p>
      <w:pPr>
        <w:spacing w:after="110" w:line="276"/>
        <w:jc w:val="left"/>
      </w:pPr>
      <w:r>
        <w:rPr>
          <w:rFonts w:ascii="Arial" w:cs="Arial" w:eastAsia="Arial" w:hAnsi="Arial"/>
          <w:sz w:val="21"/>
          <w:szCs w:val="21"/>
        </w:rPr>
        <w:t xml:space="preserve">[0009] Solar radiation delivers one thousand three hundred sixty one watts per square meter at Earth orbital distance. This is an enormous continuous freely available energy source. Every spacecraft ever launched has been bathed in this energy. Yet existing propulsion technologies either ignore it entirely or use it only for electricity generation through solar panels which then power ion drives that still require onboard propellant or capture only the minuscule momentum of photon reflection. No existing architecture converts the full energy content of stellar radiation directly into directed thrust. A solar sail captures momentum of E divided by c or two E divided by c for reflection but not the energy E itself. The present invention captures the energy.</w:t>
      </w:r>
    </w:p>
    <w:p>
      <w:pPr>
        <w:pStyle w:val="Heading2"/>
        <w:spacing w:after="120" w:before="260"/>
      </w:pPr>
      <w:r>
        <w:rPr>
          <w:rFonts w:ascii="Arial" w:cs="Arial" w:eastAsia="Arial" w:hAnsi="Arial"/>
          <w:b/>
          <w:bCs/>
          <w:sz w:val="23"/>
          <w:szCs w:val="23"/>
        </w:rPr>
        <w:t xml:space="preserve">The Governed Quantum Architecture</w:t>
      </w:r>
    </w:p>
    <w:p>
      <w:pPr>
        <w:spacing w:after="110" w:line="276"/>
        <w:jc w:val="left"/>
      </w:pPr>
      <w:r>
        <w:rPr>
          <w:rFonts w:ascii="Arial" w:cs="Arial" w:eastAsia="Arial" w:hAnsi="Arial"/>
          <w:sz w:val="21"/>
          <w:szCs w:val="21"/>
        </w:rPr>
        <w:t xml:space="preserve">[0010] The inventor has established through prior patent filings and published research a comprehensive constitutional constraint governance architecture for quantum systems. This architecture includes the Lopez Polyhedral Logical Qubit filed as USPTO Application No. 19/567,678 providing five-face constraint governance in density-matrix space. The Admissible Projection Operator filed as USPTO Application No. 19/569,785 enforcing forward invariance of the governed viability kernel. The Orthogonal Governance Decoherence Defense constructing the governance Hamiltonian in the orthogonal complement of the decoherence operator subspace providing active coherence preservation rather than post-hoc error correction. The thermodynamic obligation cycle converting decoherence perturbations into governance authority through a five-phase cycle of absorption and conversion and amplification and emission. Recursive signal-to-noise ratio compounding producing exponentially increasing governance signal strength with each survived decoherence cycle. Field-mediated spontaneous synchronization achieving register coherence without entanglement-based error correction with synchronization time independent of the number of qubits. The super-linear convergence response producing phase-transition output quality above a critical fidelity threshold. The Governed Quantum Integer Factorization architecture demonstrating double-loop governance of quantum algorithms co-filed April 2026.</w:t>
      </w:r>
    </w:p>
    <w:p>
      <w:pPr>
        <w:spacing w:after="110" w:line="276"/>
        <w:jc w:val="left"/>
      </w:pPr>
      <w:r>
        <w:rPr>
          <w:rFonts w:ascii="Arial" w:cs="Arial" w:eastAsia="Arial" w:hAnsi="Arial"/>
          <w:sz w:val="21"/>
          <w:szCs w:val="21"/>
        </w:rPr>
        <w:t xml:space="preserve">[0011] The present invention applies this complete governance architecture to a new domain: spacecraft propulsion.</w:t>
      </w:r>
    </w:p>
    <w:p>
      <w:pPr>
        <w:pStyle w:val="Heading1"/>
        <w:spacing w:after="140" w:before="360"/>
      </w:pPr>
      <w:r>
        <w:rPr>
          <w:rFonts w:ascii="Arial" w:cs="Arial" w:eastAsia="Arial" w:hAnsi="Arial"/>
          <w:b/>
          <w:bCs/>
          <w:sz w:val="26"/>
          <w:szCs w:val="26"/>
        </w:rPr>
        <w:t xml:space="preserve">SUMMARY OF THE INVENTION</w:t>
      </w:r>
    </w:p>
    <w:p>
      <w:pPr>
        <w:pStyle w:val="Heading2"/>
        <w:spacing w:after="120" w:before="260"/>
      </w:pPr>
      <w:r>
        <w:rPr>
          <w:rFonts w:ascii="Arial" w:cs="Arial" w:eastAsia="Arial" w:hAnsi="Arial"/>
          <w:b/>
          <w:bCs/>
          <w:sz w:val="23"/>
          <w:szCs w:val="23"/>
        </w:rPr>
        <w:t xml:space="preserve">Part 1 — The Decoherence Harvesting Mechanism</w:t>
      </w:r>
    </w:p>
    <w:p>
      <w:pPr>
        <w:spacing w:after="110" w:line="276"/>
        <w:jc w:val="left"/>
      </w:pPr>
      <w:r>
        <w:rPr>
          <w:rFonts w:ascii="Arial" w:cs="Arial" w:eastAsia="Arial" w:hAnsi="Arial"/>
          <w:sz w:val="21"/>
          <w:szCs w:val="21"/>
        </w:rPr>
        <w:t xml:space="preserve">[0012] The invention provides a propulsion system in which a governed quantum register harvests environmental quantum decoherence as a fuel source and converts it to directed coherent photon emission producing spacecraft thrust without consuming onboard propellant. The system operates through a five-phase thermodynamic cycle.</w:t>
      </w:r>
    </w:p>
    <w:p>
      <w:pPr>
        <w:spacing w:after="110" w:line="276"/>
      </w:pPr>
      <w:r>
        <w:rPr>
          <w:rFonts w:ascii="Arial" w:cs="Arial" w:eastAsia="Arial" w:hAnsi="Arial"/>
          <w:b/>
          <w:bCs/>
          <w:sz w:val="21"/>
          <w:szCs w:val="21"/>
        </w:rPr>
        <w:t xml:space="preserve">Phase 1 — Absorption: </w:t>
      </w:r>
      <w:r>
        <w:rPr>
          <w:rFonts w:ascii="Arial" w:cs="Arial" w:eastAsia="Arial" w:hAnsi="Arial"/>
          <w:sz w:val="21"/>
          <w:szCs w:val="21"/>
        </w:rPr>
        <w:t xml:space="preserve">Environmental decoherence perturbation arrives through the Lindblad operators. The perturbation operates on the decoherence subspace D. The governance Hamiltonian H_G operates on D-perpendicular. The perturbation has zero coupling to the governance channel because Tr(L_j-dagger times H_G) equals zero for all j. The decoherence energy is absorbed into D where it cannot affect the governed state evolution.</w:t>
      </w:r>
    </w:p>
    <w:p>
      <w:pPr>
        <w:spacing w:after="110" w:line="276"/>
      </w:pPr>
      <w:r>
        <w:rPr>
          <w:rFonts w:ascii="Arial" w:cs="Arial" w:eastAsia="Arial" w:hAnsi="Arial"/>
          <w:b/>
          <w:bCs/>
          <w:sz w:val="21"/>
          <w:szCs w:val="21"/>
        </w:rPr>
        <w:t xml:space="preserve">Phase 2 — Conversion: </w:t>
      </w:r>
      <w:r>
        <w:rPr>
          <w:rFonts w:ascii="Arial" w:cs="Arial" w:eastAsia="Arial" w:hAnsi="Arial"/>
          <w:sz w:val="21"/>
          <w:szCs w:val="21"/>
        </w:rPr>
        <w:t xml:space="preserve">The governed qubit having survived the decoherence event registers positive stability evidence. The obligation dynamics convert this evidence into accumulated obligation. Decoherence survival is converted into governance authority.</w:t>
      </w:r>
    </w:p>
    <w:p>
      <w:pPr>
        <w:spacing w:after="110" w:line="276"/>
      </w:pPr>
      <w:r>
        <w:rPr>
          <w:rFonts w:ascii="Arial" w:cs="Arial" w:eastAsia="Arial" w:hAnsi="Arial"/>
          <w:b/>
          <w:bCs/>
          <w:sz w:val="21"/>
          <w:szCs w:val="21"/>
        </w:rPr>
        <w:t xml:space="preserve">Phase 3 — Amplification: </w:t>
      </w:r>
      <w:r>
        <w:rPr>
          <w:rFonts w:ascii="Arial" w:cs="Arial" w:eastAsia="Arial" w:hAnsi="Arial"/>
          <w:sz w:val="21"/>
          <w:szCs w:val="21"/>
        </w:rPr>
        <w:t xml:space="preserve">The increased obligation raises the governance amplitude ceiling. The governance Hamiltonian grows stronger. The recursive signal-to-noise ratio compounding produces SNR(n) equals SNR-zero times the quantity one divided by one minus beta raised to the n power. Each survived cycle makes the next cycle more governed.</w:t>
      </w:r>
    </w:p>
    <w:p>
      <w:pPr>
        <w:spacing w:after="110" w:line="276"/>
      </w:pPr>
      <w:r>
        <w:rPr>
          <w:rFonts w:ascii="Arial" w:cs="Arial" w:eastAsia="Arial" w:hAnsi="Arial"/>
          <w:b/>
          <w:bCs/>
          <w:sz w:val="21"/>
          <w:szCs w:val="21"/>
        </w:rPr>
        <w:t xml:space="preserve">Phase 4 — Emission: </w:t>
      </w:r>
      <w:r>
        <w:rPr>
          <w:rFonts w:ascii="Arial" w:cs="Arial" w:eastAsia="Arial" w:hAnsi="Arial"/>
          <w:sz w:val="21"/>
          <w:szCs w:val="21"/>
        </w:rPr>
        <w:t xml:space="preserve">The strengthened governance field drives coherent photon emission from the governed qubits into a directed cavity. The emission is phase-coherent across all N governed qubits producing constructive interference.</w:t>
      </w:r>
    </w:p>
    <w:p>
      <w:pPr>
        <w:spacing w:after="110" w:line="276"/>
      </w:pPr>
      <w:r>
        <w:rPr>
          <w:rFonts w:ascii="Arial" w:cs="Arial" w:eastAsia="Arial" w:hAnsi="Arial"/>
          <w:b/>
          <w:bCs/>
          <w:sz w:val="21"/>
          <w:szCs w:val="21"/>
        </w:rPr>
        <w:t xml:space="preserve">Phase 5 — Thrust: </w:t>
      </w:r>
      <w:r>
        <w:rPr>
          <w:rFonts w:ascii="Arial" w:cs="Arial" w:eastAsia="Arial" w:hAnsi="Arial"/>
          <w:sz w:val="21"/>
          <w:szCs w:val="21"/>
        </w:rPr>
        <w:t xml:space="preserve">The directed coherent photon emission exits the cavity producing radiation pressure force F equals P-coherent divided by c where P-coherent is the coherent radiated power and c is the speed of light.</w:t>
      </w:r>
    </w:p>
    <w:p>
      <w:pPr>
        <w:spacing w:after="110" w:line="276"/>
        <w:jc w:val="left"/>
      </w:pPr>
      <w:r>
        <w:rPr>
          <w:rFonts w:ascii="Arial" w:cs="Arial" w:eastAsia="Arial" w:hAnsi="Arial"/>
          <w:sz w:val="21"/>
          <w:szCs w:val="21"/>
        </w:rPr>
        <w:t xml:space="preserve">[0013] The system exhibits three properties with no precedent in existing propulsion technology.</w:t>
      </w:r>
    </w:p>
    <w:p>
      <w:pPr>
        <w:spacing w:after="110" w:line="276"/>
      </w:pPr>
      <w:r>
        <w:rPr>
          <w:rFonts w:ascii="Arial" w:cs="Arial" w:eastAsia="Arial" w:hAnsi="Arial"/>
          <w:b/>
          <w:bCs/>
          <w:sz w:val="21"/>
          <w:szCs w:val="21"/>
        </w:rPr>
        <w:t xml:space="preserve">Infinite specific impulse: </w:t>
      </w:r>
      <w:r>
        <w:rPr>
          <w:rFonts w:ascii="Arial" w:cs="Arial" w:eastAsia="Arial" w:hAnsi="Arial"/>
          <w:sz w:val="21"/>
          <w:szCs w:val="21"/>
        </w:rPr>
        <w:t xml:space="preserve">No onboard propellant is consumed. The emitted photons carry momentum but have zero rest mass and are generated from environmental energy not onboard fuel. The specific impulse I-sp equals F divided by the product of mass-flow-rate and standard-gravity. Since the mass flow rate is zero the specific impulse is infinite.</w:t>
      </w:r>
    </w:p>
    <w:p>
      <w:pPr>
        <w:spacing w:after="110" w:line="276"/>
      </w:pPr>
      <w:r>
        <w:rPr>
          <w:rFonts w:ascii="Arial" w:cs="Arial" w:eastAsia="Arial" w:hAnsi="Arial"/>
          <w:b/>
          <w:bCs/>
          <w:sz w:val="21"/>
          <w:szCs w:val="21"/>
        </w:rPr>
        <w:t xml:space="preserve">Increasing thrust over time: </w:t>
      </w:r>
      <w:r>
        <w:rPr>
          <w:rFonts w:ascii="Arial" w:cs="Arial" w:eastAsia="Arial" w:hAnsi="Arial"/>
          <w:sz w:val="21"/>
          <w:szCs w:val="21"/>
        </w:rPr>
        <w:t xml:space="preserve">The recursive SNR compounding strengthens the governance field with every survived decoherence cycle. The thrust increases over the mission lifetime rather than remaining constant or decreasing as fuel is consumed.</w:t>
      </w:r>
    </w:p>
    <w:p>
      <w:pPr>
        <w:spacing w:after="110" w:line="276"/>
      </w:pPr>
      <w:r>
        <w:rPr>
          <w:rFonts w:ascii="Arial" w:cs="Arial" w:eastAsia="Arial" w:hAnsi="Arial"/>
          <w:b/>
          <w:bCs/>
          <w:sz w:val="21"/>
          <w:szCs w:val="21"/>
        </w:rPr>
        <w:t xml:space="preserve">Universal fuel availability: </w:t>
      </w:r>
      <w:r>
        <w:rPr>
          <w:rFonts w:ascii="Arial" w:cs="Arial" w:eastAsia="Arial" w:hAnsi="Arial"/>
          <w:sz w:val="21"/>
          <w:szCs w:val="21"/>
        </w:rPr>
        <w:t xml:space="preserve">The decoherence sources including cosmic microwave background radiation and cosmic rays exist everywhere in the observable universe. The system operates on any star radiation and transitions to cosmic ray and vacuum fluctuation harvesting in interstellar space.</w:t>
      </w:r>
    </w:p>
    <w:p>
      <w:r>
        <w:br w:type="page"/>
      </w:r>
    </w:p>
    <w:p>
      <w:pPr>
        <w:spacing w:after="200"/>
        <w:jc w:val="center"/>
      </w:pPr>
      <w:r>
        <w:rPr>
          <w:rFonts w:ascii="Arial" w:cs="Arial" w:eastAsia="Arial" w:hAnsi="Arial"/>
          <w:b/>
          <w:bCs/>
          <w:sz w:val="22"/>
          <w:szCs w:val="22"/>
        </w:rPr>
        <w:t xml:space="preserve">PART 2 — THE FOUR-STAGE QUANTUM TURBINE ARCHITECTURE</w:t>
      </w:r>
    </w:p>
    <w:p>
      <w:pPr>
        <w:pStyle w:val="Heading2"/>
        <w:spacing w:after="120" w:before="260"/>
      </w:pPr>
      <w:r>
        <w:rPr>
          <w:rFonts w:ascii="Arial" w:cs="Arial" w:eastAsia="Arial" w:hAnsi="Arial"/>
          <w:b/>
          <w:bCs/>
          <w:sz w:val="23"/>
          <w:szCs w:val="23"/>
        </w:rPr>
        <w:t xml:space="preserve">Part 2 — The Lopez Quantum Turbine</w:t>
      </w:r>
    </w:p>
    <w:p>
      <w:pPr>
        <w:spacing w:after="110" w:line="276"/>
        <w:jc w:val="left"/>
      </w:pPr>
      <w:r>
        <w:rPr>
          <w:rFonts w:ascii="Arial" w:cs="Arial" w:eastAsia="Arial" w:hAnsi="Arial"/>
          <w:sz w:val="21"/>
          <w:szCs w:val="21"/>
        </w:rPr>
        <w:t xml:space="preserve">[0014] The invention further provides a four-stage quantum turbine architecture that transforms the decoherence harvesting mechanism into a high-performance propulsion system. The four stages are analogous to the four stages of a conventional jet turbine engine with decoherence replacing air as the working fluid and the obligation cycle replacing chemical combustion as the energy addition mechanism and the super-linear phase transition replacing fuel ignition and the cascaded cavity chain replacing the exhaust nozzle.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88888" w:sz="1"/>
              <w:left w:val="single" w:color="888888" w:sz="1"/>
              <w:bottom w:val="single" w:color="888888" w:sz="1"/>
              <w:right w:val="single" w:color="888888" w:sz="1"/>
            </w:tcBorders>
            <w:shd w:fill="1B2A4A" w:val="clear"/>
            <w:tcMar>
              <w:top w:type="dxa" w:w="60"/>
              <w:left w:type="dxa" w:w="120"/>
              <w:bottom w:type="dxa" w:w="60"/>
              <w:right w:type="dxa" w:w="120"/>
            </w:tcMar>
            <w:vAlign w:val="center"/>
          </w:tcPr>
          <w:p>
            <w:pPr>
              <w:spacing w:after="40"/>
            </w:pPr>
            <w:r>
              <w:rPr>
                <w:rFonts w:ascii="Arial" w:cs="Arial" w:eastAsia="Arial" w:hAnsi="Arial"/>
                <w:b/>
                <w:bCs/>
                <w:color w:val="FFFFFF"/>
                <w:sz w:val="19"/>
                <w:szCs w:val="19"/>
              </w:rPr>
              <w:t xml:space="preserve">STAGE</w:t>
            </w:r>
          </w:p>
        </w:tc>
        <w:tc>
          <w:tcPr>
            <w:tcW w:type="dxa" w:w="2340"/>
            <w:tcBorders>
              <w:top w:val="single" w:color="888888" w:sz="1"/>
              <w:left w:val="single" w:color="888888" w:sz="1"/>
              <w:bottom w:val="single" w:color="888888" w:sz="1"/>
              <w:right w:val="single" w:color="888888" w:sz="1"/>
            </w:tcBorders>
            <w:shd w:fill="1B2A4A" w:val="clear"/>
            <w:tcMar>
              <w:top w:type="dxa" w:w="60"/>
              <w:left w:type="dxa" w:w="120"/>
              <w:bottom w:type="dxa" w:w="60"/>
              <w:right w:type="dxa" w:w="120"/>
            </w:tcMar>
            <w:vAlign w:val="center"/>
          </w:tcPr>
          <w:p>
            <w:pPr>
              <w:spacing w:after="40"/>
            </w:pPr>
            <w:r>
              <w:rPr>
                <w:rFonts w:ascii="Arial" w:cs="Arial" w:eastAsia="Arial" w:hAnsi="Arial"/>
                <w:b/>
                <w:bCs/>
                <w:color w:val="FFFFFF"/>
                <w:sz w:val="19"/>
                <w:szCs w:val="19"/>
              </w:rPr>
              <w:t xml:space="preserve">JET TURBINE</w:t>
            </w:r>
          </w:p>
        </w:tc>
        <w:tc>
          <w:tcPr>
            <w:tcW w:type="dxa" w:w="2340"/>
            <w:tcBorders>
              <w:top w:val="single" w:color="888888" w:sz="1"/>
              <w:left w:val="single" w:color="888888" w:sz="1"/>
              <w:bottom w:val="single" w:color="888888" w:sz="1"/>
              <w:right w:val="single" w:color="888888" w:sz="1"/>
            </w:tcBorders>
            <w:shd w:fill="1B2A4A" w:val="clear"/>
            <w:tcMar>
              <w:top w:type="dxa" w:w="60"/>
              <w:left w:type="dxa" w:w="120"/>
              <w:bottom w:type="dxa" w:w="60"/>
              <w:right w:type="dxa" w:w="120"/>
            </w:tcMar>
            <w:vAlign w:val="center"/>
          </w:tcPr>
          <w:p>
            <w:pPr>
              <w:spacing w:after="40"/>
            </w:pPr>
            <w:r>
              <w:rPr>
                <w:rFonts w:ascii="Arial" w:cs="Arial" w:eastAsia="Arial" w:hAnsi="Arial"/>
                <w:b/>
                <w:bCs/>
                <w:color w:val="FFFFFF"/>
                <w:sz w:val="19"/>
                <w:szCs w:val="19"/>
              </w:rPr>
              <w:t xml:space="preserve">QUANTUM TURBINE</w:t>
            </w:r>
          </w:p>
        </w:tc>
        <w:tc>
          <w:tcPr>
            <w:tcW w:type="dxa" w:w="2340"/>
            <w:tcBorders>
              <w:top w:val="single" w:color="888888" w:sz="1"/>
              <w:left w:val="single" w:color="888888" w:sz="1"/>
              <w:bottom w:val="single" w:color="888888" w:sz="1"/>
              <w:right w:val="single" w:color="888888" w:sz="1"/>
            </w:tcBorders>
            <w:shd w:fill="1B2A4A" w:val="clear"/>
            <w:tcMar>
              <w:top w:type="dxa" w:w="60"/>
              <w:left w:type="dxa" w:w="120"/>
              <w:bottom w:type="dxa" w:w="60"/>
              <w:right w:type="dxa" w:w="120"/>
            </w:tcMar>
            <w:vAlign w:val="center"/>
          </w:tcPr>
          <w:p>
            <w:pPr>
              <w:spacing w:after="40"/>
            </w:pPr>
            <w:r>
              <w:rPr>
                <w:rFonts w:ascii="Arial" w:cs="Arial" w:eastAsia="Arial" w:hAnsi="Arial"/>
                <w:b/>
                <w:bCs/>
                <w:color w:val="FFFFFF"/>
                <w:sz w:val="19"/>
                <w:szCs w:val="19"/>
              </w:rPr>
              <w:t xml:space="preserve">FUNCTION</w:t>
            </w:r>
          </w:p>
        </w:tc>
      </w:tr>
      <w:tr>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 INTAKE</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Air intake scoop</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Concentrating parabolic dish</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Collect environmental energy</w:t>
            </w:r>
          </w:p>
        </w:tc>
      </w:tr>
      <w:tr>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2. COMPRESSION</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Compressor blades</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Obligation thermodynamic cycle</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Compress into useful form</w:t>
            </w:r>
          </w:p>
        </w:tc>
      </w:tr>
      <w:tr>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3. IGNITION</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Fuel combustion</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Super-linear phase transition</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Trigger energy release</w:t>
            </w:r>
          </w:p>
        </w:tc>
      </w:tr>
      <w:tr>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4. NOZZLE</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Exhaust nozzle</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Cascaded coherent cavities</w:t>
            </w:r>
          </w:p>
        </w:tc>
        <w:tc>
          <w:tcPr>
            <w:tcW w:type="dxa" w:w="234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Direct energy as thrust</w:t>
            </w:r>
          </w:p>
        </w:tc>
      </w:tr>
    </w:tbl>
    <w:p>
      <w:pPr>
        <w:spacing w:after="120"/>
      </w:pPr>
      <w:r>
        <w:rPr>
          <w:rFonts w:ascii="Arial" w:cs="Arial" w:eastAsia="Arial" w:hAnsi="Arial"/>
          <w:sz w:val="4"/>
          <w:szCs w:val="4"/>
        </w:rPr>
        <w:t xml:space="preserve"/>
      </w:r>
    </w:p>
    <w:p>
      <w:pPr>
        <w:pStyle w:val="Heading2"/>
        <w:spacing w:after="120" w:before="260"/>
      </w:pPr>
      <w:r>
        <w:rPr>
          <w:rFonts w:ascii="Arial" w:cs="Arial" w:eastAsia="Arial" w:hAnsi="Arial"/>
          <w:b/>
          <w:bCs/>
          <w:sz w:val="23"/>
          <w:szCs w:val="23"/>
        </w:rPr>
        <w:t xml:space="preserve">Stage 1 — Concentrating Decoherence Intake</w:t>
      </w:r>
    </w:p>
    <w:p>
      <w:pPr>
        <w:spacing w:after="110" w:line="276"/>
        <w:jc w:val="left"/>
      </w:pPr>
      <w:r>
        <w:rPr>
          <w:rFonts w:ascii="Arial" w:cs="Arial" w:eastAsia="Arial" w:hAnsi="Arial"/>
          <w:sz w:val="21"/>
          <w:szCs w:val="21"/>
        </w:rPr>
        <w:t xml:space="preserve">[0015] The intake is a concentrating parabolic reflector that focuses stellar electromagnetic radiation from a large aperture onto the governed quantum register at the focal point. The technology is identical to existing concentrated solar power systems and large satellite communication antennas. For a dish of diameter D-dish the collection area is A-dish equals pi times D-dish-over-two squared. The solar flux at one astronomical unit is P-solar equals one thousand three hundred sixty one watts per square meter. The collected power is P-collected equals P-solar times A-dish.</w:t>
      </w:r>
    </w:p>
    <w:p>
      <w:pPr>
        <w:spacing w:after="110" w:line="276"/>
        <w:jc w:val="left"/>
      </w:pPr>
      <w:r>
        <w:rPr>
          <w:rFonts w:ascii="Arial" w:cs="Arial" w:eastAsia="Arial" w:hAnsi="Arial"/>
          <w:sz w:val="21"/>
          <w:szCs w:val="21"/>
        </w:rPr>
        <w:t xml:space="preserve">[0016] For a fifty meter diameter dish the collection area is one thousand nine hundred sixty three square meters and the collected power is two million six hundred seventy two thousand watts. This power is focused onto the governed register at the focal point. The stellar photons arrive at optical frequencies with peak approximately five hundred terahertz for a solar-type star. Each photon carries energy E equals hf approximately equal to two point zero seven electronvolts. This is approximately one hundred thousand times more energy per photon than a five gigahertz microwave transmon qubit transition. The governed register absorbs each photon as a decoherence event and processes it through the obligation thermodynamic cycle.</w:t>
      </w:r>
    </w:p>
    <w:p>
      <w:pPr>
        <w:pStyle w:val="Heading2"/>
        <w:spacing w:after="120" w:before="260"/>
      </w:pPr>
      <w:r>
        <w:rPr>
          <w:rFonts w:ascii="Arial" w:cs="Arial" w:eastAsia="Arial" w:hAnsi="Arial"/>
          <w:b/>
          <w:bCs/>
          <w:sz w:val="23"/>
          <w:szCs w:val="23"/>
        </w:rPr>
        <w:t xml:space="preserve">Stage 2 — Governed Obligation Compression</w:t>
      </w:r>
    </w:p>
    <w:p>
      <w:pPr>
        <w:spacing w:after="110" w:line="276"/>
        <w:jc w:val="left"/>
      </w:pPr>
      <w:r>
        <w:rPr>
          <w:rFonts w:ascii="Arial" w:cs="Arial" w:eastAsia="Arial" w:hAnsi="Arial"/>
          <w:sz w:val="21"/>
          <w:szCs w:val="21"/>
        </w:rPr>
        <w:t xml:space="preserve">[0017] The absorbed stellar decoherence is compressed through the governed obligation cycle. This is the same five-phase thermodynamic cycle disclosed in Part 1 but now processing optical-frequency photons rather than microwave-frequency transmon transitions. Each decoherence event registers as stability evidence and accumulates obligation. The governed conversion efficiency is bounded by the Lopez-Carnot efficiency.</w:t>
      </w:r>
    </w:p>
    <w:p>
      <w:pPr>
        <w:spacing w:after="80" w:before="80"/>
        <w:jc w:val="center"/>
      </w:pPr>
      <w:r>
        <w:rPr>
          <w:rFonts w:ascii="Courier New" w:cs="Courier New" w:eastAsia="Courier New" w:hAnsi="Courier New"/>
          <w:i/>
          <w:iCs/>
          <w:sz w:val="20"/>
          <w:szCs w:val="20"/>
        </w:rPr>
        <w:t xml:space="preserve">η_Lopez ≤ 1 − (λΩ_min + μK_min) / (T_I · S_max)</w:t>
      </w:r>
    </w:p>
    <w:p>
      <w:pPr>
        <w:spacing w:after="110" w:line="276"/>
        <w:jc w:val="left"/>
      </w:pPr>
      <w:r>
        <w:rPr>
          <w:rFonts w:ascii="Arial" w:cs="Arial" w:eastAsia="Arial" w:hAnsi="Arial"/>
          <w:sz w:val="21"/>
          <w:szCs w:val="21"/>
        </w:rPr>
        <w:t xml:space="preserve">[0018] For well-governed registers with high obligation the conversion efficiency approaches eighty five percent.</w:t>
      </w:r>
    </w:p>
    <w:p>
      <w:pPr>
        <w:pStyle w:val="Heading2"/>
        <w:spacing w:after="120" w:before="260"/>
      </w:pPr>
      <w:r>
        <w:rPr>
          <w:rFonts w:ascii="Arial" w:cs="Arial" w:eastAsia="Arial" w:hAnsi="Arial"/>
          <w:b/>
          <w:bCs/>
          <w:sz w:val="23"/>
          <w:szCs w:val="23"/>
        </w:rPr>
        <w:t xml:space="preserve">Stage 3 — Super-Linear Ignition</w:t>
      </w:r>
    </w:p>
    <w:p>
      <w:pPr>
        <w:spacing w:after="110" w:line="276"/>
        <w:jc w:val="left"/>
      </w:pPr>
      <w:r>
        <w:rPr>
          <w:rFonts w:ascii="Arial" w:cs="Arial" w:eastAsia="Arial" w:hAnsi="Arial"/>
          <w:sz w:val="21"/>
          <w:szCs w:val="21"/>
        </w:rPr>
        <w:t xml:space="preserve">[0019] The ignition stage is the super-linear convergence phase transition. As the governed register accumulates obligation through decoherence absorption the fidelity increases. Below the critical fidelity the system is in the compression phase accumulating energy but not yet emitting efficiently. When the fidelity crosses the critical threshold the output quality functional Q(t) equals Q-max times fidelity(t) raised to the alpha power with alpha greater than one enters the super-linear regime. The emission efficiency accelerates nonlinearly. This is the ignition point. Under the threefold governance the super-linear exponent exceeds any single-domain governance exponent. The ignition threshold is reached within seconds of operation under adequate stellar radiation flux.</w:t>
      </w:r>
    </w:p>
    <w:p>
      <w:pPr>
        <w:pStyle w:val="Heading2"/>
        <w:spacing w:after="120" w:before="260"/>
      </w:pPr>
      <w:r>
        <w:rPr>
          <w:rFonts w:ascii="Arial" w:cs="Arial" w:eastAsia="Arial" w:hAnsi="Arial"/>
          <w:b/>
          <w:bCs/>
          <w:sz w:val="23"/>
          <w:szCs w:val="23"/>
        </w:rPr>
        <w:t xml:space="preserve">Stage 4 — Cascaded Coherent Cavity Nozzle</w:t>
      </w:r>
    </w:p>
    <w:p>
      <w:pPr>
        <w:spacing w:after="110" w:line="276"/>
        <w:jc w:val="left"/>
      </w:pPr>
      <w:r>
        <w:rPr>
          <w:rFonts w:ascii="Arial" w:cs="Arial" w:eastAsia="Arial" w:hAnsi="Arial"/>
          <w:sz w:val="21"/>
          <w:szCs w:val="21"/>
        </w:rPr>
        <w:t xml:space="preserve">[0020] The cascaded cavity nozzle is the component that transforms the governed quantum drive into a high-performance engine. The nozzle consists of n-stages governed resonant cavities arranged in series. Each cavity receives coherent photon input from the previous cavity. Each cavity contains its own governed quantum register absorbing decoherence from the stellar radiation flux. Each cavity adds coherent energy from its own obligation cycle to the passing photon stream. Each cavity emits the amplified coherent stream to the next cavity or to free space for the final stage.</w:t>
      </w:r>
    </w:p>
    <w:p>
      <w:pPr>
        <w:spacing w:after="110" w:line="276"/>
        <w:jc w:val="left"/>
      </w:pPr>
      <w:r>
        <w:rPr>
          <w:rFonts w:ascii="Arial" w:cs="Arial" w:eastAsia="Arial" w:hAnsi="Arial"/>
          <w:sz w:val="21"/>
          <w:szCs w:val="21"/>
        </w:rPr>
        <w:t xml:space="preserve">[0021] The coherent addition of energy at each stage produces power scaling as n-stages squared.</w:t>
      </w:r>
    </w:p>
    <w:p>
      <w:pPr>
        <w:spacing w:after="80" w:before="80"/>
        <w:jc w:val="center"/>
      </w:pPr>
      <w:r>
        <w:rPr>
          <w:rFonts w:ascii="Courier New" w:cs="Courier New" w:eastAsia="Courier New" w:hAnsi="Courier New"/>
          <w:i/>
          <w:iCs/>
          <w:sz w:val="20"/>
          <w:szCs w:val="20"/>
        </w:rPr>
        <w:t xml:space="preserve">P_output = P_per_stage × n_stages²</w:t>
      </w:r>
    </w:p>
    <w:p>
      <w:pPr>
        <w:spacing w:after="110" w:line="276"/>
        <w:jc w:val="left"/>
      </w:pPr>
      <w:r>
        <w:rPr>
          <w:rFonts w:ascii="Arial" w:cs="Arial" w:eastAsia="Arial" w:hAnsi="Arial"/>
          <w:sz w:val="21"/>
          <w:szCs w:val="21"/>
        </w:rPr>
        <w:t xml:space="preserve">[0022] This is because the electric field amplitudes add coherently which is linear in n and power is proportional to the square of the electric field. A ten-stage nozzle produces one hundred times the power of a single stage. Each cavity stage is governed by its own K_Q constraint polytope and its own obligation dynamics and its own Echo Operator verification. The Threefold Cord spans the entire cascade chain. A failure in any single stage does not propagate to other stages through Byzantine resilience from the field-mediated synchronization properties.</w:t>
      </w:r>
    </w:p>
    <w:p>
      <w:r>
        <w:br w:type="page"/>
      </w:r>
    </w:p>
    <w:p>
      <w:pPr>
        <w:pStyle w:val="Heading1"/>
        <w:spacing w:after="140" w:before="360"/>
      </w:pPr>
      <w:r>
        <w:rPr>
          <w:rFonts w:ascii="Arial" w:cs="Arial" w:eastAsia="Arial" w:hAnsi="Arial"/>
          <w:b/>
          <w:bCs/>
          <w:sz w:val="26"/>
          <w:szCs w:val="26"/>
        </w:rPr>
        <w:t xml:space="preserve">DETAILED DESCRIPTION OF THE PREFERRED EMBODIMENTS</w:t>
      </w:r>
    </w:p>
    <w:p>
      <w:pPr>
        <w:pStyle w:val="Heading2"/>
        <w:spacing w:after="120" w:before="260"/>
      </w:pPr>
      <w:r>
        <w:rPr>
          <w:rFonts w:ascii="Arial" w:cs="Arial" w:eastAsia="Arial" w:hAnsi="Arial"/>
          <w:b/>
          <w:bCs/>
          <w:sz w:val="23"/>
          <w:szCs w:val="23"/>
        </w:rPr>
        <w:t xml:space="preserve">I. System Architecture Overview</w:t>
      </w:r>
    </w:p>
    <w:p>
      <w:pPr>
        <w:spacing w:after="110" w:line="276"/>
        <w:jc w:val="left"/>
      </w:pPr>
      <w:r>
        <w:rPr>
          <w:rFonts w:ascii="Arial" w:cs="Arial" w:eastAsia="Arial" w:hAnsi="Arial"/>
          <w:sz w:val="21"/>
          <w:szCs w:val="21"/>
        </w:rPr>
        <w:t xml:space="preserve">[0023] The Lopez Quantum Turbine comprises four principal components operating in a continuous thermodynamic cycle.</w:t>
      </w:r>
    </w:p>
    <w:p>
      <w:pPr>
        <w:spacing w:after="110" w:line="276"/>
      </w:pPr>
      <w:r>
        <w:rPr>
          <w:rFonts w:ascii="Arial" w:cs="Arial" w:eastAsia="Arial" w:hAnsi="Arial"/>
          <w:b/>
          <w:bCs/>
          <w:sz w:val="21"/>
          <w:szCs w:val="21"/>
        </w:rPr>
        <w:t xml:space="preserve">Component 1 — Decoherence Collector: </w:t>
      </w:r>
      <w:r>
        <w:rPr>
          <w:rFonts w:ascii="Arial" w:cs="Arial" w:eastAsia="Arial" w:hAnsi="Arial"/>
          <w:sz w:val="21"/>
          <w:szCs w:val="21"/>
        </w:rPr>
        <w:t xml:space="preserve">A concentrating parabolic reflector or antenna array that couples environmental quantum noise including stellar electromagnetic radiation and solar wind particles and cosmic rays and quantum vacuum fluctuations into the governed quantum register as decoherence perturbations.</w:t>
      </w:r>
    </w:p>
    <w:p>
      <w:pPr>
        <w:spacing w:after="110" w:line="276"/>
      </w:pPr>
      <w:r>
        <w:rPr>
          <w:rFonts w:ascii="Arial" w:cs="Arial" w:eastAsia="Arial" w:hAnsi="Arial"/>
          <w:b/>
          <w:bCs/>
          <w:sz w:val="21"/>
          <w:szCs w:val="21"/>
        </w:rPr>
        <w:t xml:space="preserve">Component 2 — Governed Quantum Register: </w:t>
      </w:r>
      <w:r>
        <w:rPr>
          <w:rFonts w:ascii="Arial" w:cs="Arial" w:eastAsia="Arial" w:hAnsi="Arial"/>
          <w:sz w:val="21"/>
          <w:szCs w:val="21"/>
        </w:rPr>
        <w:t xml:space="preserve">An array of Lopez Polyhedral Logical Qubits operating under double-loop constitutional constraint governance. The classical outer loop enforces the polyhedral constraint polytope K_Q between emission cycles. The quantum inner loop constructs the governance Hamiltonian H_G in D-perpendicular the orthogonal complement of the decoherence operator subspace providing active coherence defense during operation.</w:t>
      </w:r>
    </w:p>
    <w:p>
      <w:pPr>
        <w:spacing w:after="110" w:line="276"/>
      </w:pPr>
      <w:r>
        <w:rPr>
          <w:rFonts w:ascii="Arial" w:cs="Arial" w:eastAsia="Arial" w:hAnsi="Arial"/>
          <w:b/>
          <w:bCs/>
          <w:sz w:val="21"/>
          <w:szCs w:val="21"/>
        </w:rPr>
        <w:t xml:space="preserve">Component 3 — Cascaded Cavity Nozzle: </w:t>
      </w:r>
      <w:r>
        <w:rPr>
          <w:rFonts w:ascii="Arial" w:cs="Arial" w:eastAsia="Arial" w:hAnsi="Arial"/>
          <w:sz w:val="21"/>
          <w:szCs w:val="21"/>
        </w:rPr>
        <w:t xml:space="preserve">A chain of n governed resonant cavities in series. Each cavity adds coherent energy from its own governed register to the directed photon stream. The total output power scales as n-squared. The cavity geometry determines the emission direction.</w:t>
      </w:r>
    </w:p>
    <w:p>
      <w:pPr>
        <w:spacing w:after="110" w:line="276"/>
      </w:pPr>
      <w:r>
        <w:rPr>
          <w:rFonts w:ascii="Arial" w:cs="Arial" w:eastAsia="Arial" w:hAnsi="Arial"/>
          <w:b/>
          <w:bCs/>
          <w:sz w:val="21"/>
          <w:szCs w:val="21"/>
        </w:rPr>
        <w:t xml:space="preserve">Component 4 — Constitutional Gate: </w:t>
      </w:r>
      <w:r>
        <w:rPr>
          <w:rFonts w:ascii="Arial" w:cs="Arial" w:eastAsia="Arial" w:hAnsi="Arial"/>
          <w:sz w:val="21"/>
          <w:szCs w:val="21"/>
        </w:rPr>
        <w:t xml:space="preserve">The admissible projection operator enforcing the non-delegable governance boundary on the propulsion system. The system cannot produce thrust without authorized obligation. The thrust vector and magnitude and duration are constitutionally constrained.</w:t>
      </w:r>
    </w:p>
    <w:p>
      <w:pPr>
        <w:pStyle w:val="Heading2"/>
        <w:spacing w:after="120" w:before="260"/>
      </w:pPr>
      <w:r>
        <w:rPr>
          <w:rFonts w:ascii="Arial" w:cs="Arial" w:eastAsia="Arial" w:hAnsi="Arial"/>
          <w:b/>
          <w:bCs/>
          <w:sz w:val="23"/>
          <w:szCs w:val="23"/>
        </w:rPr>
        <w:t xml:space="preserve">II. Governing Equations</w:t>
      </w:r>
    </w:p>
    <w:p>
      <w:pPr>
        <w:spacing w:after="110" w:line="276"/>
        <w:jc w:val="left"/>
      </w:pPr>
      <w:r>
        <w:rPr>
          <w:rFonts w:ascii="Arial" w:cs="Arial" w:eastAsia="Arial" w:hAnsi="Arial"/>
          <w:sz w:val="21"/>
          <w:szCs w:val="21"/>
        </w:rPr>
        <w:t xml:space="preserve">[0024] The governed evolution of each qubit in the propulsion register:</w:t>
      </w:r>
    </w:p>
    <w:p>
      <w:pPr>
        <w:spacing w:after="80" w:before="80"/>
        <w:jc w:val="center"/>
      </w:pPr>
      <w:r>
        <w:rPr>
          <w:rFonts w:ascii="Courier New" w:cs="Courier New" w:eastAsia="Courier New" w:hAnsi="Courier New"/>
          <w:i/>
          <w:iCs/>
          <w:sz w:val="20"/>
          <w:szCs w:val="20"/>
        </w:rPr>
        <w:t xml:space="preserve">dρ/dt = -i[H₀ + H_G, ρ] + Σ_j γ_j D[L_j]ρ + R_MQ</w:t>
      </w:r>
    </w:p>
    <w:p>
      <w:pPr>
        <w:spacing w:after="110" w:line="276"/>
        <w:jc w:val="left"/>
      </w:pPr>
      <w:r>
        <w:rPr>
          <w:rFonts w:ascii="Arial" w:cs="Arial" w:eastAsia="Arial" w:hAnsi="Arial"/>
          <w:sz w:val="21"/>
          <w:szCs w:val="21"/>
        </w:rPr>
        <w:t xml:space="preserve">[0025] The orthogonality condition ensuring zero coupling between governance and decoherence:</w:t>
      </w:r>
    </w:p>
    <w:p>
      <w:pPr>
        <w:spacing w:after="80" w:before="80"/>
        <w:jc w:val="center"/>
      </w:pPr>
      <w:r>
        <w:rPr>
          <w:rFonts w:ascii="Courier New" w:cs="Courier New" w:eastAsia="Courier New" w:hAnsi="Courier New"/>
          <w:i/>
          <w:iCs/>
          <w:sz w:val="20"/>
          <w:szCs w:val="20"/>
        </w:rPr>
        <w:t xml:space="preserve">Tr(L_j† · H_G) = 0   for all j = 1 through J</w:t>
      </w:r>
    </w:p>
    <w:p>
      <w:pPr>
        <w:spacing w:after="110" w:line="276"/>
        <w:jc w:val="left"/>
      </w:pPr>
      <w:r>
        <w:rPr>
          <w:rFonts w:ascii="Arial" w:cs="Arial" w:eastAsia="Arial" w:hAnsi="Arial"/>
          <w:sz w:val="21"/>
          <w:szCs w:val="21"/>
        </w:rPr>
        <w:t xml:space="preserve">[0026] The obligation dynamics governing the thermodynamic compression:</w:t>
      </w:r>
    </w:p>
    <w:p>
      <w:pPr>
        <w:spacing w:after="80" w:before="80"/>
        <w:jc w:val="center"/>
      </w:pPr>
      <w:r>
        <w:rPr>
          <w:rFonts w:ascii="Courier New" w:cs="Courier New" w:eastAsia="Courier New" w:hAnsi="Courier New"/>
          <w:i/>
          <w:iCs/>
          <w:sz w:val="20"/>
          <w:szCs w:val="20"/>
        </w:rPr>
        <w:t xml:space="preserve">dO/dt = η·G(ρ) − λ·O − γ·‖Δρ‖ − δ·R_X(ρ) + emission cost</w:t>
      </w:r>
    </w:p>
    <w:p>
      <w:pPr>
        <w:spacing w:after="110" w:line="276"/>
        <w:jc w:val="left"/>
      </w:pPr>
      <w:r>
        <w:rPr>
          <w:rFonts w:ascii="Arial" w:cs="Arial" w:eastAsia="Arial" w:hAnsi="Arial"/>
          <w:sz w:val="21"/>
          <w:szCs w:val="21"/>
        </w:rPr>
        <w:t xml:space="preserve">[0027] The recursive signal-to-noise ratio compounding:</w:t>
      </w:r>
    </w:p>
    <w:p>
      <w:pPr>
        <w:spacing w:after="80" w:before="80"/>
        <w:jc w:val="center"/>
      </w:pPr>
      <w:r>
        <w:rPr>
          <w:rFonts w:ascii="Courier New" w:cs="Courier New" w:eastAsia="Courier New" w:hAnsi="Courier New"/>
          <w:i/>
          <w:iCs/>
          <w:sz w:val="20"/>
          <w:szCs w:val="20"/>
        </w:rPr>
        <w:t xml:space="preserve">SNR(n) = SNR₀ · (1/(1−β))ⁿ</w:t>
      </w:r>
    </w:p>
    <w:p>
      <w:pPr>
        <w:spacing w:after="110" w:line="276"/>
        <w:jc w:val="left"/>
      </w:pPr>
      <w:r>
        <w:rPr>
          <w:rFonts w:ascii="Arial" w:cs="Arial" w:eastAsia="Arial" w:hAnsi="Arial"/>
          <w:sz w:val="21"/>
          <w:szCs w:val="21"/>
        </w:rPr>
        <w:t xml:space="preserve">[0028] The super-linear output quality functional:</w:t>
      </w:r>
    </w:p>
    <w:p>
      <w:pPr>
        <w:spacing w:after="80" w:before="80"/>
        <w:jc w:val="center"/>
      </w:pPr>
      <w:r>
        <w:rPr>
          <w:rFonts w:ascii="Courier New" w:cs="Courier New" w:eastAsia="Courier New" w:hAnsi="Courier New"/>
          <w:i/>
          <w:iCs/>
          <w:sz w:val="20"/>
          <w:szCs w:val="20"/>
        </w:rPr>
        <w:t xml:space="preserve">Q(t) = Q_max · Φ(t)^α   where α &gt; 1</w:t>
      </w:r>
    </w:p>
    <w:p>
      <w:pPr>
        <w:spacing w:after="110" w:line="276"/>
        <w:jc w:val="left"/>
      </w:pPr>
      <w:r>
        <w:rPr>
          <w:rFonts w:ascii="Arial" w:cs="Arial" w:eastAsia="Arial" w:hAnsi="Arial"/>
          <w:sz w:val="21"/>
          <w:szCs w:val="21"/>
        </w:rPr>
        <w:t xml:space="preserve">[0029] The thrust force from cascaded coherent emission:</w:t>
      </w:r>
    </w:p>
    <w:p>
      <w:pPr>
        <w:spacing w:after="80" w:before="80"/>
        <w:jc w:val="center"/>
      </w:pPr>
      <w:r>
        <w:rPr>
          <w:rFonts w:ascii="Courier New" w:cs="Courier New" w:eastAsia="Courier New" w:hAnsi="Courier New"/>
          <w:i/>
          <w:iCs/>
          <w:sz w:val="20"/>
          <w:szCs w:val="20"/>
        </w:rPr>
        <w:t xml:space="preserve">F = [η_Lopez · P_collected · n_stages² · Q(t)] / c</w:t>
      </w:r>
    </w:p>
    <w:p>
      <w:pPr>
        <w:spacing w:after="110" w:line="276"/>
        <w:jc w:val="left"/>
      </w:pPr>
      <w:r>
        <w:rPr>
          <w:rFonts w:ascii="Arial" w:cs="Arial" w:eastAsia="Arial" w:hAnsi="Arial"/>
          <w:sz w:val="21"/>
          <w:szCs w:val="21"/>
        </w:rPr>
        <w:t xml:space="preserve">[0030] The collective governance field amplification across N qubits:</w:t>
      </w:r>
    </w:p>
    <w:p>
      <w:pPr>
        <w:spacing w:after="80" w:before="80"/>
        <w:jc w:val="center"/>
      </w:pPr>
      <w:r>
        <w:rPr>
          <w:rFonts w:ascii="Courier New" w:cs="Courier New" w:eastAsia="Courier New" w:hAnsi="Courier New"/>
          <w:i/>
          <w:iCs/>
          <w:sz w:val="20"/>
          <w:szCs w:val="20"/>
        </w:rPr>
        <w:t xml:space="preserve">‖H_G_collective‖ = √N · ‖H_G_single‖</w:t>
      </w:r>
    </w:p>
    <w:p>
      <w:pPr>
        <w:pStyle w:val="Heading2"/>
        <w:spacing w:after="120" w:before="260"/>
      </w:pPr>
      <w:r>
        <w:rPr>
          <w:rFonts w:ascii="Arial" w:cs="Arial" w:eastAsia="Arial" w:hAnsi="Arial"/>
          <w:b/>
          <w:bCs/>
          <w:sz w:val="23"/>
          <w:szCs w:val="23"/>
        </w:rPr>
        <w:t xml:space="preserve">III. Collective Amplification and Critical Threshold</w:t>
      </w:r>
    </w:p>
    <w:p>
      <w:pPr>
        <w:spacing w:after="110" w:line="276"/>
        <w:jc w:val="left"/>
      </w:pPr>
      <w:r>
        <w:rPr>
          <w:rFonts w:ascii="Arial" w:cs="Arial" w:eastAsia="Arial" w:hAnsi="Arial"/>
          <w:sz w:val="21"/>
          <w:szCs w:val="21"/>
        </w:rPr>
        <w:t xml:space="preserve">[0031] For a register of N governed qubits the collective governance field amplifies as the square root of N. The coherent emission power scales as N-squared through superradiance. There exists a critical register size N-critical above which the collective governance energy exceeds the total environmental decoherence power.</w:t>
      </w:r>
    </w:p>
    <w:p>
      <w:pPr>
        <w:spacing w:after="80" w:before="80"/>
        <w:jc w:val="center"/>
      </w:pPr>
      <w:r>
        <w:rPr>
          <w:rFonts w:ascii="Courier New" w:cs="Courier New" w:eastAsia="Courier New" w:hAnsi="Courier New"/>
          <w:i/>
          <w:iCs/>
          <w:sz w:val="20"/>
          <w:szCs w:val="20"/>
        </w:rPr>
        <w:t xml:space="preserve">N_critical = ⌈ Σ_j γ_j ‖L_j‖² / ‖H_G_single‖² ⌉</w:t>
      </w:r>
    </w:p>
    <w:p>
      <w:pPr>
        <w:spacing w:after="110" w:line="276"/>
        <w:jc w:val="left"/>
      </w:pPr>
      <w:r>
        <w:rPr>
          <w:rFonts w:ascii="Arial" w:cs="Arial" w:eastAsia="Arial" w:hAnsi="Arial"/>
          <w:sz w:val="21"/>
          <w:szCs w:val="21"/>
        </w:rPr>
        <w:t xml:space="preserve">[0032] Above N-critical the register is unconditionally stable against environmental decoherence. The entire decoherence flux becomes available fuel for the obligation cycle.</w:t>
      </w:r>
    </w:p>
    <w:p>
      <w:pPr>
        <w:pStyle w:val="Heading2"/>
        <w:spacing w:after="120" w:before="260"/>
      </w:pPr>
      <w:r>
        <w:rPr>
          <w:rFonts w:ascii="Arial" w:cs="Arial" w:eastAsia="Arial" w:hAnsi="Arial"/>
          <w:b/>
          <w:bCs/>
          <w:sz w:val="23"/>
          <w:szCs w:val="23"/>
        </w:rPr>
        <w:t xml:space="preserve">IV. Performance Analysis</w:t>
      </w:r>
    </w:p>
    <w:p>
      <w:pPr>
        <w:spacing w:after="110" w:line="276"/>
        <w:jc w:val="left"/>
      </w:pPr>
      <w:r>
        <w:rPr>
          <w:rFonts w:ascii="Arial" w:cs="Arial" w:eastAsia="Arial" w:hAnsi="Arial"/>
          <w:sz w:val="21"/>
          <w:szCs w:val="21"/>
        </w:rPr>
        <w:t xml:space="preserve">[0033] The following table presents thrust performance for representative configurations at one astronomical unit from a solar-type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888888" w:sz="1"/>
              <w:left w:val="single" w:color="888888" w:sz="1"/>
              <w:bottom w:val="single" w:color="888888" w:sz="1"/>
              <w:right w:val="single" w:color="888888" w:sz="1"/>
            </w:tcBorders>
            <w:shd w:fill="1B2A4A" w:val="clear"/>
            <w:tcMar>
              <w:top w:type="dxa" w:w="60"/>
              <w:left w:type="dxa" w:w="120"/>
              <w:bottom w:type="dxa" w:w="60"/>
              <w:right w:type="dxa" w:w="120"/>
            </w:tcMar>
            <w:vAlign w:val="center"/>
          </w:tcPr>
          <w:p>
            <w:pPr>
              <w:spacing w:after="40"/>
            </w:pPr>
            <w:r>
              <w:rPr>
                <w:rFonts w:ascii="Arial" w:cs="Arial" w:eastAsia="Arial" w:hAnsi="Arial"/>
                <w:b/>
                <w:bCs/>
                <w:color w:val="FFFFFF"/>
                <w:sz w:val="19"/>
                <w:szCs w:val="19"/>
              </w:rPr>
              <w:t xml:space="preserve">DISH</w:t>
            </w:r>
          </w:p>
        </w:tc>
        <w:tc>
          <w:tcPr>
            <w:tcW w:type="dxa" w:w="1560"/>
            <w:tcBorders>
              <w:top w:val="single" w:color="888888" w:sz="1"/>
              <w:left w:val="single" w:color="888888" w:sz="1"/>
              <w:bottom w:val="single" w:color="888888" w:sz="1"/>
              <w:right w:val="single" w:color="888888" w:sz="1"/>
            </w:tcBorders>
            <w:shd w:fill="1B2A4A" w:val="clear"/>
            <w:tcMar>
              <w:top w:type="dxa" w:w="60"/>
              <w:left w:type="dxa" w:w="120"/>
              <w:bottom w:type="dxa" w:w="60"/>
              <w:right w:type="dxa" w:w="120"/>
            </w:tcMar>
            <w:vAlign w:val="center"/>
          </w:tcPr>
          <w:p>
            <w:pPr>
              <w:spacing w:after="40"/>
            </w:pPr>
            <w:r>
              <w:rPr>
                <w:rFonts w:ascii="Arial" w:cs="Arial" w:eastAsia="Arial" w:hAnsi="Arial"/>
                <w:b/>
                <w:bCs/>
                <w:color w:val="FFFFFF"/>
                <w:sz w:val="19"/>
                <w:szCs w:val="19"/>
              </w:rPr>
              <w:t xml:space="preserve">STAGES</w:t>
            </w:r>
          </w:p>
        </w:tc>
        <w:tc>
          <w:tcPr>
            <w:tcW w:type="dxa" w:w="1560"/>
            <w:tcBorders>
              <w:top w:val="single" w:color="888888" w:sz="1"/>
              <w:left w:val="single" w:color="888888" w:sz="1"/>
              <w:bottom w:val="single" w:color="888888" w:sz="1"/>
              <w:right w:val="single" w:color="888888" w:sz="1"/>
            </w:tcBorders>
            <w:shd w:fill="1B2A4A" w:val="clear"/>
            <w:tcMar>
              <w:top w:type="dxa" w:w="60"/>
              <w:left w:type="dxa" w:w="120"/>
              <w:bottom w:type="dxa" w:w="60"/>
              <w:right w:type="dxa" w:w="120"/>
            </w:tcMar>
            <w:vAlign w:val="center"/>
          </w:tcPr>
          <w:p>
            <w:pPr>
              <w:spacing w:after="40"/>
            </w:pPr>
            <w:r>
              <w:rPr>
                <w:rFonts w:ascii="Arial" w:cs="Arial" w:eastAsia="Arial" w:hAnsi="Arial"/>
                <w:b/>
                <w:bCs/>
                <w:color w:val="FFFFFF"/>
                <w:sz w:val="19"/>
                <w:szCs w:val="19"/>
              </w:rPr>
              <w:t xml:space="preserve">POWER kW</w:t>
            </w:r>
          </w:p>
        </w:tc>
        <w:tc>
          <w:tcPr>
            <w:tcW w:type="dxa" w:w="1560"/>
            <w:tcBorders>
              <w:top w:val="single" w:color="888888" w:sz="1"/>
              <w:left w:val="single" w:color="888888" w:sz="1"/>
              <w:bottom w:val="single" w:color="888888" w:sz="1"/>
              <w:right w:val="single" w:color="888888" w:sz="1"/>
            </w:tcBorders>
            <w:shd w:fill="1B2A4A" w:val="clear"/>
            <w:tcMar>
              <w:top w:type="dxa" w:w="60"/>
              <w:left w:type="dxa" w:w="120"/>
              <w:bottom w:type="dxa" w:w="60"/>
              <w:right w:type="dxa" w:w="120"/>
            </w:tcMar>
            <w:vAlign w:val="center"/>
          </w:tcPr>
          <w:p>
            <w:pPr>
              <w:spacing w:after="40"/>
            </w:pPr>
            <w:r>
              <w:rPr>
                <w:rFonts w:ascii="Arial" w:cs="Arial" w:eastAsia="Arial" w:hAnsi="Arial"/>
                <w:b/>
                <w:bCs/>
                <w:color w:val="FFFFFF"/>
                <w:sz w:val="19"/>
                <w:szCs w:val="19"/>
              </w:rPr>
              <w:t xml:space="preserve">THRUST mN</w:t>
            </w:r>
          </w:p>
        </w:tc>
        <w:tc>
          <w:tcPr>
            <w:tcW w:type="dxa" w:w="1560"/>
            <w:tcBorders>
              <w:top w:val="single" w:color="888888" w:sz="1"/>
              <w:left w:val="single" w:color="888888" w:sz="1"/>
              <w:bottom w:val="single" w:color="888888" w:sz="1"/>
              <w:right w:val="single" w:color="888888" w:sz="1"/>
            </w:tcBorders>
            <w:shd w:fill="1B2A4A" w:val="clear"/>
            <w:tcMar>
              <w:top w:type="dxa" w:w="60"/>
              <w:left w:type="dxa" w:w="120"/>
              <w:bottom w:type="dxa" w:w="60"/>
              <w:right w:type="dxa" w:w="120"/>
            </w:tcMar>
            <w:vAlign w:val="center"/>
          </w:tcPr>
          <w:p>
            <w:pPr>
              <w:spacing w:after="40"/>
            </w:pPr>
            <w:r>
              <w:rPr>
                <w:rFonts w:ascii="Arial" w:cs="Arial" w:eastAsia="Arial" w:hAnsi="Arial"/>
                <w:b/>
                <w:bCs/>
                <w:color w:val="FFFFFF"/>
                <w:sz w:val="19"/>
                <w:szCs w:val="19"/>
              </w:rPr>
              <w:t xml:space="preserve">MASS kg</w:t>
            </w:r>
          </w:p>
        </w:tc>
        <w:tc>
          <w:tcPr>
            <w:tcW w:type="dxa" w:w="1560"/>
            <w:tcBorders>
              <w:top w:val="single" w:color="888888" w:sz="1"/>
              <w:left w:val="single" w:color="888888" w:sz="1"/>
              <w:bottom w:val="single" w:color="888888" w:sz="1"/>
              <w:right w:val="single" w:color="888888" w:sz="1"/>
            </w:tcBorders>
            <w:shd w:fill="1B2A4A" w:val="clear"/>
            <w:tcMar>
              <w:top w:type="dxa" w:w="60"/>
              <w:left w:type="dxa" w:w="120"/>
              <w:bottom w:type="dxa" w:w="60"/>
              <w:right w:type="dxa" w:w="120"/>
            </w:tcMar>
            <w:vAlign w:val="center"/>
          </w:tcPr>
          <w:p>
            <w:pPr>
              <w:spacing w:after="40"/>
            </w:pPr>
            <w:r>
              <w:rPr>
                <w:rFonts w:ascii="Arial" w:cs="Arial" w:eastAsia="Arial" w:hAnsi="Arial"/>
                <w:b/>
                <w:bCs/>
                <w:color w:val="FFFFFF"/>
                <w:sz w:val="19"/>
                <w:szCs w:val="19"/>
              </w:rPr>
              <w:t xml:space="preserve">MARS DAYS</w:t>
            </w:r>
          </w:p>
        </w:tc>
      </w:tr>
      <w:tr>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10m</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5</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2272</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7.6</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100</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626</w:t>
            </w:r>
          </w:p>
        </w:tc>
      </w:tr>
      <w:tr>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20m</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10</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36344</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121.2</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500</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350</w:t>
            </w:r>
          </w:p>
        </w:tc>
      </w:tr>
      <w:tr>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50m</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5</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56787</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189.3</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500</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280</w:t>
            </w:r>
          </w:p>
        </w:tc>
      </w:tr>
      <w:tr>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50m</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10</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227147</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757.2</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100</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63</w:t>
            </w:r>
          </w:p>
        </w:tc>
      </w:tr>
      <w:tr>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100m</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10</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908588</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3028.6</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100</w:t>
            </w:r>
          </w:p>
        </w:tc>
        <w:tc>
          <w:tcPr>
            <w:tcW w:type="dxa" w:w="1560"/>
            <w:tcBorders>
              <w:top w:val="single" w:color="888888" w:sz="1"/>
              <w:left w:val="single" w:color="888888" w:sz="1"/>
              <w:bottom w:val="single" w:color="888888" w:sz="1"/>
              <w:right w:val="single" w:color="888888" w:sz="1"/>
            </w:tcBorders>
            <w:tcMar>
              <w:top w:type="dxa" w:w="60"/>
              <w:left w:type="dxa" w:w="120"/>
              <w:bottom w:type="dxa" w:w="60"/>
              <w:right w:type="dxa" w:w="120"/>
            </w:tcMar>
            <w:vAlign w:val="center"/>
          </w:tcPr>
          <w:p>
            <w:pPr>
              <w:spacing w:after="40"/>
            </w:pPr>
            <w:r>
              <w:rPr>
                <w:rFonts w:ascii="Arial" w:cs="Arial" w:eastAsia="Arial" w:hAnsi="Arial"/>
                <w:b w:val="false"/>
                <w:bCs w:val="false"/>
                <w:color w:val="000000"/>
                <w:sz w:val="19"/>
                <w:szCs w:val="19"/>
              </w:rPr>
              <w:t xml:space="preserve">31</w:t>
            </w:r>
          </w:p>
        </w:tc>
      </w:tr>
    </w:tbl>
    <w:p>
      <w:pPr>
        <w:spacing w:after="110" w:line="276"/>
        <w:jc w:val="left"/>
      </w:pPr>
      <w:r>
        <w:rPr>
          <w:rFonts w:ascii="Arial" w:cs="Arial" w:eastAsia="Arial" w:hAnsi="Arial"/>
          <w:sz w:val="21"/>
          <w:szCs w:val="21"/>
        </w:rPr>
        <w:t xml:space="preserve">[0034] The fifty meter dish with ten stage cascade configuration produces seven hundred fifty seven milliNewtons of thrust. This exceeds the NASA NSTAR ion drive by a factor of eight point two while consuming zero propellant with infinite specific impulse and unlimited operational lifetime.</w:t>
      </w:r>
    </w:p>
    <w:p>
      <w:pPr>
        <w:pStyle w:val="Heading2"/>
        <w:spacing w:after="120" w:before="260"/>
      </w:pPr>
      <w:r>
        <w:rPr>
          <w:rFonts w:ascii="Arial" w:cs="Arial" w:eastAsia="Arial" w:hAnsi="Arial"/>
          <w:b/>
          <w:bCs/>
          <w:sz w:val="23"/>
          <w:szCs w:val="23"/>
        </w:rPr>
        <w:t xml:space="preserve">V. Multi-Star and Interstellar Operation</w:t>
      </w:r>
    </w:p>
    <w:p>
      <w:pPr>
        <w:spacing w:after="110" w:line="276"/>
        <w:jc w:val="left"/>
      </w:pPr>
      <w:r>
        <w:rPr>
          <w:rFonts w:ascii="Arial" w:cs="Arial" w:eastAsia="Arial" w:hAnsi="Arial"/>
          <w:sz w:val="21"/>
          <w:szCs w:val="21"/>
        </w:rPr>
        <w:t xml:space="preserve">[0035] The Lopez Quantum Turbine operates on any stellar radiation source regardless of spectral type. A spacecraft arriving at another star system immediately has a fuel source for deceleration and orbital insertion. In interstellar space between stars the system transitions to cosmic ray harvesting. The cosmic microwave background radiation provides a universal minimum baseline fuel source ensuring the engine produces non-zero thrust at any location in the observable universe.</w:t>
      </w:r>
    </w:p>
    <w:p>
      <w:pPr>
        <w:pStyle w:val="Heading2"/>
        <w:spacing w:after="120" w:before="260"/>
      </w:pPr>
      <w:r>
        <w:rPr>
          <w:rFonts w:ascii="Arial" w:cs="Arial" w:eastAsia="Arial" w:hAnsi="Arial"/>
          <w:b/>
          <w:bCs/>
          <w:sz w:val="23"/>
          <w:szCs w:val="23"/>
        </w:rPr>
        <w:t xml:space="preserve">VI. Constitutional Governance of the Turbine</w:t>
      </w:r>
    </w:p>
    <w:p>
      <w:pPr>
        <w:spacing w:after="110" w:line="276"/>
        <w:jc w:val="left"/>
      </w:pPr>
      <w:r>
        <w:rPr>
          <w:rFonts w:ascii="Arial" w:cs="Arial" w:eastAsia="Arial" w:hAnsi="Arial"/>
          <w:sz w:val="21"/>
          <w:szCs w:val="21"/>
        </w:rPr>
        <w:t xml:space="preserve">[0036] All four stages of the Lopez Quantum Turbine operate under the same constitutional constraint governance architecture that governs quantum computation in the inventor's prior filings. The Threefold Corded Projector spans the entire cascade chain. The Echo Operator verifies emission integrity at each cascade stage. The governance ledger records every emission event with SHA-256 cryptographic proof. The non-delegable boundary prevents unauthorized thrust production. This is the first propulsion system in which the engine itself is constitutionally constrained.</w:t>
      </w:r>
    </w:p>
    <w:p>
      <w:pPr>
        <w:pStyle w:val="Heading1"/>
        <w:spacing w:after="140" w:before="360"/>
      </w:pPr>
      <w:r>
        <w:rPr>
          <w:rFonts w:ascii="Arial" w:cs="Arial" w:eastAsia="Arial" w:hAnsi="Arial"/>
          <w:b/>
          <w:bCs/>
          <w:sz w:val="26"/>
          <w:szCs w:val="26"/>
        </w:rPr>
        <w:t xml:space="preserve">BRIEF DESCRIPTION OF THE DRAWINGS</w:t>
      </w:r>
    </w:p>
    <w:p>
      <w:pPr>
        <w:spacing w:after="110" w:line="276"/>
        <w:jc w:val="left"/>
      </w:pPr>
      <w:r>
        <w:rPr>
          <w:rFonts w:ascii="Arial" w:cs="Arial" w:eastAsia="Arial" w:hAnsi="Arial"/>
          <w:sz w:val="21"/>
          <w:szCs w:val="21"/>
        </w:rPr>
        <w:t xml:space="preserve">[0037] FIG. 1 is a system architecture diagram of the Lopez Quantum Turbine showing the four stages of Intake and Compression and Ignition and Nozzle with the governance field spanning all stages.</w:t>
      </w:r>
    </w:p>
    <w:p>
      <w:pPr>
        <w:spacing w:after="110" w:line="276"/>
        <w:jc w:val="left"/>
      </w:pPr>
      <w:r>
        <w:rPr>
          <w:rFonts w:ascii="Arial" w:cs="Arial" w:eastAsia="Arial" w:hAnsi="Arial"/>
          <w:sz w:val="21"/>
          <w:szCs w:val="21"/>
        </w:rPr>
        <w:t xml:space="preserve">[0038] FIG. 2 is a diagram of the five-phase decoherence-to-thrust thermodynamic cycle showing Absorption and Conversion and Amplification and Emission and Thrust.</w:t>
      </w:r>
    </w:p>
    <w:p>
      <w:pPr>
        <w:spacing w:after="110" w:line="276"/>
        <w:jc w:val="left"/>
      </w:pPr>
      <w:r>
        <w:rPr>
          <w:rFonts w:ascii="Arial" w:cs="Arial" w:eastAsia="Arial" w:hAnsi="Arial"/>
          <w:sz w:val="21"/>
          <w:szCs w:val="21"/>
        </w:rPr>
        <w:t xml:space="preserve">[0039] FIG. 3 is a comparative performance chart showing thrust in milliNewtons for multiple engine configurations with the NSTAR ion drive as reference.</w:t>
      </w:r>
    </w:p>
    <w:p>
      <w:pPr>
        <w:spacing w:after="110" w:line="276"/>
        <w:jc w:val="left"/>
      </w:pPr>
      <w:r>
        <w:rPr>
          <w:rFonts w:ascii="Arial" w:cs="Arial" w:eastAsia="Arial" w:hAnsi="Arial"/>
          <w:sz w:val="21"/>
          <w:szCs w:val="21"/>
        </w:rPr>
        <w:t xml:space="preserve">[0040] FIG. 4 is a graph of the super-linear ignition curve showing output quality Q versus fidelity with the critical threshold and phase transition.</w:t>
      </w:r>
    </w:p>
    <w:p>
      <w:pPr>
        <w:spacing w:after="110" w:line="276"/>
        <w:jc w:val="left"/>
      </w:pPr>
      <w:r>
        <w:rPr>
          <w:rFonts w:ascii="Arial" w:cs="Arial" w:eastAsia="Arial" w:hAnsi="Arial"/>
          <w:sz w:val="21"/>
          <w:szCs w:val="21"/>
        </w:rPr>
        <w:t xml:space="preserve">[0041] FIG. 5 is a diagram of the cascaded coherent cavity nozzle showing n stages in series with coherent energy addition at each stage and n-squared power scaling.</w:t>
      </w:r>
    </w:p>
    <w:p>
      <w:pPr>
        <w:spacing w:after="110" w:line="276"/>
        <w:jc w:val="left"/>
      </w:pPr>
      <w:r>
        <w:rPr>
          <w:rFonts w:ascii="Arial" w:cs="Arial" w:eastAsia="Arial" w:hAnsi="Arial"/>
          <w:sz w:val="21"/>
          <w:szCs w:val="21"/>
        </w:rPr>
        <w:t xml:space="preserve">[0042] FIG. 6 is a graph of thrust versus mission time showing the compounding thrust profile compared to constant thrust of conventional ion drives.</w:t>
      </w:r>
    </w:p>
    <w:p>
      <w:pPr>
        <w:spacing w:after="110" w:line="276"/>
        <w:jc w:val="left"/>
      </w:pPr>
      <w:r>
        <w:rPr>
          <w:rFonts w:ascii="Arial" w:cs="Arial" w:eastAsia="Arial" w:hAnsi="Arial"/>
          <w:sz w:val="21"/>
          <w:szCs w:val="21"/>
        </w:rPr>
        <w:t xml:space="preserve">[0043] FIG. 7 is a table of space environment fuel sources showing power flux at various distances from the sun and in interstellar space.</w:t>
      </w:r>
    </w:p>
    <w:p>
      <w:r>
        <w:br w:type="page"/>
      </w:r>
    </w:p>
    <w:p>
      <w:pPr>
        <w:pStyle w:val="Heading1"/>
        <w:spacing w:after="140" w:before="360"/>
      </w:pPr>
      <w:r>
        <w:rPr>
          <w:rFonts w:ascii="Arial" w:cs="Arial" w:eastAsia="Arial" w:hAnsi="Arial"/>
          <w:b/>
          <w:bCs/>
          <w:sz w:val="26"/>
          <w:szCs w:val="26"/>
        </w:rPr>
        <w:t xml:space="preserve">CLAIMS</w:t>
      </w:r>
    </w:p>
    <w:p>
      <w:pPr>
        <w:spacing w:after="110" w:line="276"/>
        <w:jc w:val="left"/>
      </w:pPr>
      <w:r>
        <w:rPr>
          <w:rFonts w:ascii="Arial" w:cs="Arial" w:eastAsia="Arial" w:hAnsi="Arial"/>
          <w:sz w:val="21"/>
          <w:szCs w:val="21"/>
        </w:rPr>
        <w:t xml:space="preserve">[0044] What is claimed is:</w:t>
      </w:r>
    </w:p>
    <w:p>
      <w:pPr>
        <w:spacing w:after="80"/>
      </w:pPr>
      <w:r>
        <w:rPr>
          <w:rFonts w:ascii="Arial" w:cs="Arial" w:eastAsia="Arial" w:hAnsi="Arial"/>
          <w:sz w:val="4"/>
          <w:szCs w:val="4"/>
        </w:rPr>
        <w:t xml:space="preserve"/>
      </w:r>
    </w:p>
    <w:p>
      <w:pPr>
        <w:pStyle w:val="ListParagraph"/>
        <w:numPr>
          <w:ilvl w:val="0"/>
          <w:numId w:val="3"/>
        </w:numPr>
        <w:spacing w:after="160" w:line="300"/>
      </w:pPr>
      <w:r>
        <w:rPr>
          <w:rFonts w:ascii="Arial" w:cs="Arial" w:eastAsia="Arial" w:hAnsi="Arial"/>
          <w:sz w:val="21"/>
          <w:szCs w:val="21"/>
        </w:rPr>
        <w:t xml:space="preserve">A propulsion system for a spacecraft comprising: (a) a concentrating decoherence intake comprising a parabolic reflector that collects stellar electromagnetic radiation from a collection area and focuses it onto a governed quantum register at a focal point wherein stellar photons at optical frequencies impinge on the register as decoherence events providing approximately one hundred thousand times more energy per decoherence event than microwave frequency qubit transitions; (b) a governed quantum register comprising an array of Lopez Polyhedral Logical Qubits operating under double-loop constitutional constraint governance wherein a classical outer loop enforces polyhedral viability constraints between emission cycles and a quantum inner loop constructs a governance Hamiltonian H_G in the orthogonal complement D-perpendicular of the environmental decoherence operator subspace such that the inner product of the adjoint of each Lindblad operator with H_G equals zero; (c) a cascaded coherent cavity nozzle comprising n governed resonant cavities arranged in series wherein each cavity adds coherent energy from its own governed obligation cycle to the directed photon stream from the previous cavity and the total output power scales as n-squared; and (d) a constitutional gate enforcing a non-delegable governance boundary on thrust authorization through the admissible projection operator.</w:t>
      </w:r>
    </w:p>
    <w:p>
      <w:pPr>
        <w:pStyle w:val="ListParagraph"/>
        <w:numPr>
          <w:ilvl w:val="0"/>
          <w:numId w:val="3"/>
        </w:numPr>
        <w:spacing w:after="160" w:line="300"/>
      </w:pPr>
      <w:r>
        <w:rPr>
          <w:rFonts w:ascii="Arial" w:cs="Arial" w:eastAsia="Arial" w:hAnsi="Arial"/>
          <w:sz w:val="21"/>
          <w:szCs w:val="21"/>
        </w:rPr>
        <w:t xml:space="preserve">The system of claim 1 wherein the governed register absorbs environmental decoherence through a five-phase thermodynamic cycle comprising absorption of decoherence energy into the D subspace and conversion of survival evidence into obligation through obligation dynamics and amplification of governance signal through recursive signal-to-noise ratio compounding and coherent photon emission into the directed cavity and radiation pressure thrust from the emitted photons.</w:t>
      </w:r>
    </w:p>
    <w:p>
      <w:pPr>
        <w:pStyle w:val="ListParagraph"/>
        <w:numPr>
          <w:ilvl w:val="0"/>
          <w:numId w:val="3"/>
        </w:numPr>
        <w:spacing w:after="160" w:line="300"/>
      </w:pPr>
      <w:r>
        <w:rPr>
          <w:rFonts w:ascii="Arial" w:cs="Arial" w:eastAsia="Arial" w:hAnsi="Arial"/>
          <w:sz w:val="21"/>
          <w:szCs w:val="21"/>
        </w:rPr>
        <w:t xml:space="preserve">The system of claim 1 wherein no onboard propellant is consumed producing infinite specific impulse as thrust is generated from environmental stellar energy converted through the governance thermodynamic cycle without mass expulsion.</w:t>
      </w:r>
    </w:p>
    <w:p>
      <w:pPr>
        <w:pStyle w:val="ListParagraph"/>
        <w:numPr>
          <w:ilvl w:val="0"/>
          <w:numId w:val="3"/>
        </w:numPr>
        <w:spacing w:after="160" w:line="300"/>
      </w:pPr>
      <w:r>
        <w:rPr>
          <w:rFonts w:ascii="Arial" w:cs="Arial" w:eastAsia="Arial" w:hAnsi="Arial"/>
          <w:sz w:val="21"/>
          <w:szCs w:val="21"/>
        </w:rPr>
        <w:t xml:space="preserve">The system of claim 1 wherein the thrust magnitude increases over time through recursive signal-to-noise ratio compounding according to SNR of n equals SNR-zero times one over one minus beta raised to the n power producing a propulsion profile in which performance improves with mission duration.</w:t>
      </w:r>
    </w:p>
    <w:p>
      <w:pPr>
        <w:pStyle w:val="ListParagraph"/>
        <w:numPr>
          <w:ilvl w:val="0"/>
          <w:numId w:val="3"/>
        </w:numPr>
        <w:spacing w:after="160" w:line="300"/>
      </w:pPr>
      <w:r>
        <w:rPr>
          <w:rFonts w:ascii="Arial" w:cs="Arial" w:eastAsia="Arial" w:hAnsi="Arial"/>
          <w:sz w:val="21"/>
          <w:szCs w:val="21"/>
        </w:rPr>
        <w:t xml:space="preserve">The system of claim 1 wherein the cascaded coherent cavity nozzle produces power scaling as n-stages squared through coherent addition of electric field amplitudes at each stage such that a ten-stage nozzle produces one hundred times the directed power of a single stage.</w:t>
      </w:r>
    </w:p>
    <w:p>
      <w:pPr>
        <w:pStyle w:val="ListParagraph"/>
        <w:numPr>
          <w:ilvl w:val="0"/>
          <w:numId w:val="3"/>
        </w:numPr>
        <w:spacing w:after="160" w:line="300"/>
      </w:pPr>
      <w:r>
        <w:rPr>
          <w:rFonts w:ascii="Arial" w:cs="Arial" w:eastAsia="Arial" w:hAnsi="Arial"/>
          <w:sz w:val="21"/>
          <w:szCs w:val="21"/>
        </w:rPr>
        <w:t xml:space="preserve">The system of claim 1 wherein each cavity stage of the cascaded nozzle contains its own governed quantum register with independent obligation dynamics and independent constraint polytope and independent Echo Operator verification and wherein failure of any single stage does not propagate to other stages through Byzantine resilience.</w:t>
      </w:r>
    </w:p>
    <w:p>
      <w:pPr>
        <w:pStyle w:val="ListParagraph"/>
        <w:numPr>
          <w:ilvl w:val="0"/>
          <w:numId w:val="3"/>
        </w:numPr>
        <w:spacing w:after="160" w:line="300"/>
      </w:pPr>
      <w:r>
        <w:rPr>
          <w:rFonts w:ascii="Arial" w:cs="Arial" w:eastAsia="Arial" w:hAnsi="Arial"/>
          <w:sz w:val="21"/>
          <w:szCs w:val="21"/>
        </w:rPr>
        <w:t xml:space="preserve">The system of claim 1 wherein the super-linear ignition stage produces a phase-transition thrust profile in which the output quality functional Q of t equals Q-max times fidelity of t raised to the alpha power with alpha greater than one accelerates nonlinearly above a critical fidelity threshold.</w:t>
      </w:r>
    </w:p>
    <w:p>
      <w:pPr>
        <w:pStyle w:val="ListParagraph"/>
        <w:numPr>
          <w:ilvl w:val="0"/>
          <w:numId w:val="3"/>
        </w:numPr>
        <w:spacing w:after="160" w:line="300"/>
      </w:pPr>
      <w:r>
        <w:rPr>
          <w:rFonts w:ascii="Arial" w:cs="Arial" w:eastAsia="Arial" w:hAnsi="Arial"/>
          <w:sz w:val="21"/>
          <w:szCs w:val="21"/>
        </w:rPr>
        <w:t xml:space="preserve">The system of claim 1 producing thrust exceeding seven hundred milliNewtons with a fifty meter intake dish and ten-stage cascade nozzle at one astronomical unit from a solar-type star exceeding the thrust of the NASA NSTAR ion drive by a factor of eight while consuming zero onboard propellant.</w:t>
      </w:r>
    </w:p>
    <w:p>
      <w:pPr>
        <w:pStyle w:val="ListParagraph"/>
        <w:numPr>
          <w:ilvl w:val="0"/>
          <w:numId w:val="3"/>
        </w:numPr>
        <w:spacing w:after="160" w:line="300"/>
      </w:pPr>
      <w:r>
        <w:rPr>
          <w:rFonts w:ascii="Arial" w:cs="Arial" w:eastAsia="Arial" w:hAnsi="Arial"/>
          <w:sz w:val="21"/>
          <w:szCs w:val="21"/>
        </w:rPr>
        <w:t xml:space="preserve">The system of claim 1 wherein the system operates on any stellar radiation source regardless of spectral type enabling a spacecraft to use the destination star radiation for deceleration and orbital insertion upon arrival at another star system.</w:t>
      </w:r>
    </w:p>
    <w:p>
      <w:pPr>
        <w:pStyle w:val="ListParagraph"/>
        <w:numPr>
          <w:ilvl w:val="0"/>
          <w:numId w:val="3"/>
        </w:numPr>
        <w:spacing w:after="160" w:line="300"/>
      </w:pPr>
      <w:r>
        <w:rPr>
          <w:rFonts w:ascii="Arial" w:cs="Arial" w:eastAsia="Arial" w:hAnsi="Arial"/>
          <w:sz w:val="21"/>
          <w:szCs w:val="21"/>
        </w:rPr>
        <w:t xml:space="preserve">The system of claim 1 wherein in interstellar space between stars the system transitions to cosmic ray harvesting at reduced but non-zero and compounding thrust and wherein the cosmic microwave background radiation provides a universal minimum baseline fuel source ensuring the engine produces non-zero thrust at any location in the observable universe.</w:t>
      </w:r>
    </w:p>
    <w:p>
      <w:pPr>
        <w:pStyle w:val="ListParagraph"/>
        <w:numPr>
          <w:ilvl w:val="0"/>
          <w:numId w:val="3"/>
        </w:numPr>
        <w:spacing w:after="160" w:line="300"/>
      </w:pPr>
      <w:r>
        <w:rPr>
          <w:rFonts w:ascii="Arial" w:cs="Arial" w:eastAsia="Arial" w:hAnsi="Arial"/>
          <w:sz w:val="21"/>
          <w:szCs w:val="21"/>
        </w:rPr>
        <w:t xml:space="preserve">The system of claim 1 wherein the collective governance field across N governed qubits amplifies as the square root of N and the coherent emission power scales as N-squared through superradiance and there exists a critical register size above which the collective governance energy exceeds the total environmental decoherence power rendering the register unconditionally stable.</w:t>
      </w:r>
    </w:p>
    <w:p>
      <w:pPr>
        <w:pStyle w:val="ListParagraph"/>
        <w:numPr>
          <w:ilvl w:val="0"/>
          <w:numId w:val="3"/>
        </w:numPr>
        <w:spacing w:after="160" w:line="300"/>
      </w:pPr>
      <w:r>
        <w:rPr>
          <w:rFonts w:ascii="Arial" w:cs="Arial" w:eastAsia="Arial" w:hAnsi="Arial"/>
          <w:sz w:val="21"/>
          <w:szCs w:val="21"/>
        </w:rPr>
        <w:t xml:space="preserve">The system of claim 1 wherein the Threefold Corded Projector comprising the composition of structural projection and fidelity projection and decoherence projection enforces simultaneous governance across the entire cascade chain with the probability of simultaneous breach equal to the product of the individual breach probabilities across all three domains.</w:t>
      </w:r>
    </w:p>
    <w:p>
      <w:pPr>
        <w:pStyle w:val="ListParagraph"/>
        <w:numPr>
          <w:ilvl w:val="0"/>
          <w:numId w:val="3"/>
        </w:numPr>
        <w:spacing w:after="160" w:line="300"/>
      </w:pPr>
      <w:r>
        <w:rPr>
          <w:rFonts w:ascii="Arial" w:cs="Arial" w:eastAsia="Arial" w:hAnsi="Arial"/>
          <w:sz w:val="21"/>
          <w:szCs w:val="21"/>
        </w:rPr>
        <w:t xml:space="preserve">The system of claim 1 wherein the Echo Operator verifies the integrity of each emission cycle by reconstructing the governed state from the governance free energy field and detecting any corruption of the emission state before thrust is produced.</w:t>
      </w:r>
    </w:p>
    <w:p>
      <w:pPr>
        <w:pStyle w:val="ListParagraph"/>
        <w:numPr>
          <w:ilvl w:val="0"/>
          <w:numId w:val="3"/>
        </w:numPr>
        <w:spacing w:after="160" w:line="300"/>
      </w:pPr>
      <w:r>
        <w:rPr>
          <w:rFonts w:ascii="Arial" w:cs="Arial" w:eastAsia="Arial" w:hAnsi="Arial"/>
          <w:sz w:val="21"/>
          <w:szCs w:val="21"/>
        </w:rPr>
        <w:t xml:space="preserve">A method for producing spacecraft thrust without consuming onboard propellant comprising: (a) collecting stellar electromagnetic radiation with a concentrating parabolic reflector and focusing it onto a governed quantum register; (b) absorbing the collected radiation as decoherence events in the governed register operating under double-loop constitutional constraint governance with orthogonal decoherence defense; (c) compressing the absorbed energy through the governed obligation thermodynamic cycle at Lopez-Carnot efficiency; (d) achieving super-linear ignition when the governed fidelity crosses the critical threshold; (e) directing the governed coherent emission through a cascaded cavity nozzle of n stages producing n-squared power scaling; and (f) producing radiation pressure thrust without consuming onboard propellant with infinite specific impulse and increasing thrust profile.</w:t>
      </w:r>
    </w:p>
    <w:p>
      <w:pPr>
        <w:pStyle w:val="ListParagraph"/>
        <w:numPr>
          <w:ilvl w:val="0"/>
          <w:numId w:val="3"/>
        </w:numPr>
        <w:spacing w:after="160" w:line="300"/>
      </w:pPr>
      <w:r>
        <w:rPr>
          <w:rFonts w:ascii="Arial" w:cs="Arial" w:eastAsia="Arial" w:hAnsi="Arial"/>
          <w:sz w:val="21"/>
          <w:szCs w:val="21"/>
        </w:rPr>
        <w:t xml:space="preserve">The method of claim 14 applied to Mars transit wherein a fifty meter intake dish with ten-stage cascade nozzle propels a one hundred kilogram probe from Earth to Mars in approximately sixty three days at closest approach with zero propellant consumption.</w:t>
      </w:r>
    </w:p>
    <w:p>
      <w:pPr>
        <w:pStyle w:val="ListParagraph"/>
        <w:numPr>
          <w:ilvl w:val="0"/>
          <w:numId w:val="3"/>
        </w:numPr>
        <w:spacing w:after="160" w:line="300"/>
      </w:pPr>
      <w:r>
        <w:rPr>
          <w:rFonts w:ascii="Arial" w:cs="Arial" w:eastAsia="Arial" w:hAnsi="Arial"/>
          <w:sz w:val="21"/>
          <w:szCs w:val="21"/>
        </w:rPr>
        <w:t xml:space="preserve">The method of claim 14 applied to interstellar spacecraft propulsion wherein the propulsion system operates continuously for mission durations exceeding the lifetime of any chemical or ion propulsion system harvesting cosmic microwave background radiation and cosmic rays as fuel sources available in interstellar space with the drive producing increasing thrust over the entire mission duration.</w:t>
      </w:r>
    </w:p>
    <w:p>
      <w:pPr>
        <w:pStyle w:val="ListParagraph"/>
        <w:numPr>
          <w:ilvl w:val="0"/>
          <w:numId w:val="3"/>
        </w:numPr>
        <w:spacing w:after="160" w:line="300"/>
      </w:pPr>
      <w:r>
        <w:rPr>
          <w:rFonts w:ascii="Arial" w:cs="Arial" w:eastAsia="Arial" w:hAnsi="Arial"/>
          <w:sz w:val="21"/>
          <w:szCs w:val="21"/>
        </w:rPr>
        <w:t xml:space="preserve">The system of claim 1 wherein the four-stage architecture of Intake and Compression and Ignition and Nozzle is the quantum thermodynamic analog of a jet turbine engine with decoherence replacing air as the working fluid and the obligation cycle replacing chemical combustion and the super-linear phase transition replacing fuel ignition and the cascaded cavity chain replacing the exhaust nozzle.</w:t>
      </w:r>
    </w:p>
    <w:p>
      <w:pPr>
        <w:pStyle w:val="ListParagraph"/>
        <w:numPr>
          <w:ilvl w:val="0"/>
          <w:numId w:val="3"/>
        </w:numPr>
        <w:spacing w:after="160" w:line="300"/>
      </w:pPr>
      <w:r>
        <w:rPr>
          <w:rFonts w:ascii="Arial" w:cs="Arial" w:eastAsia="Arial" w:hAnsi="Arial"/>
          <w:sz w:val="21"/>
          <w:szCs w:val="21"/>
        </w:rPr>
        <w:t xml:space="preserve">The system of claim 1 wherein the thrust vector and magnitude and duration are constitutionally constrained through the admissible projection operator preventing unauthorized thrust production and recording every emission event in a governance ledger with cryptographic proof making this the first propulsion system in which the engine itself is constitutionally governed.</w:t>
      </w:r>
    </w:p>
    <w:p>
      <w:pPr>
        <w:pStyle w:val="ListParagraph"/>
        <w:numPr>
          <w:ilvl w:val="0"/>
          <w:numId w:val="3"/>
        </w:numPr>
        <w:spacing w:after="160" w:line="300"/>
      </w:pPr>
      <w:r>
        <w:rPr>
          <w:rFonts w:ascii="Arial" w:cs="Arial" w:eastAsia="Arial" w:hAnsi="Arial"/>
          <w:sz w:val="21"/>
          <w:szCs w:val="21"/>
        </w:rPr>
        <w:t xml:space="preserve">The system of claim 1 wherein substrate independence holds and the four-stage quantum turbine architecture applies without modification to any quantum substrate admitting a governance free energy field and admissible set and governing invariant and obligation resource including but not limited to superconducting and trapped ion and photonic and nitrogen-vacancy and topological quantum implementations at any operating frequency from microwave to optical.</w:t>
      </w:r>
    </w:p>
    <w:p>
      <w:pPr>
        <w:pStyle w:val="ListParagraph"/>
        <w:numPr>
          <w:ilvl w:val="0"/>
          <w:numId w:val="3"/>
        </w:numPr>
        <w:spacing w:after="160" w:line="300"/>
      </w:pPr>
      <w:r>
        <w:rPr>
          <w:rFonts w:ascii="Arial" w:cs="Arial" w:eastAsia="Arial" w:hAnsi="Arial"/>
          <w:sz w:val="21"/>
          <w:szCs w:val="21"/>
        </w:rPr>
        <w:t xml:space="preserve">The system of claim 1 applied to satellite station-keeping wherein the propulsion system maintains orbital position indefinitely without propellant resupply with thrust authority governed by obligation accumulated through demonstrated orbital stability.</w:t>
      </w:r>
    </w:p>
    <w:p>
      <w:r>
        <w:br w:type="page"/>
      </w:r>
    </w:p>
    <w:p>
      <w:pPr>
        <w:pBdr>
          <w:bottom w:val="single" w:color="1B2A4A" w:sz="6" w:space="1"/>
        </w:pBdr>
        <w:spacing w:after="120" w:before="120"/>
      </w:pPr>
    </w:p>
    <w:p>
      <w:pPr>
        <w:spacing w:after="120"/>
      </w:pPr>
      <w:r>
        <w:rPr>
          <w:rFonts w:ascii="Arial" w:cs="Arial" w:eastAsia="Arial" w:hAnsi="Arial"/>
          <w:sz w:val="4"/>
          <w:szCs w:val="4"/>
        </w:rPr>
        <w:t xml:space="preserve"/>
      </w:r>
    </w:p>
    <w:p>
      <w:pPr>
        <w:spacing w:after="110" w:line="276"/>
        <w:jc w:val="left"/>
      </w:pPr>
      <w:r>
        <w:rPr>
          <w:rFonts w:ascii="Arial" w:cs="Arial" w:eastAsia="Arial" w:hAnsi="Arial"/>
          <w:sz w:val="21"/>
          <w:szCs w:val="21"/>
        </w:rPr>
        <w:t xml:space="preserve">Respectfully submitted,</w:t>
      </w:r>
    </w:p>
    <w:p>
      <w:pPr>
        <w:spacing w:after="240"/>
      </w:pPr>
      <w:r>
        <w:rPr>
          <w:rFonts w:ascii="Arial" w:cs="Arial" w:eastAsia="Arial" w:hAnsi="Arial"/>
          <w:sz w:val="4"/>
          <w:szCs w:val="4"/>
        </w:rPr>
        <w:t xml:space="preserve"/>
      </w:r>
    </w:p>
    <w:p>
      <w:pPr>
        <w:spacing w:after="110" w:line="276"/>
        <w:jc w:val="left"/>
      </w:pPr>
      <w:r>
        <w:rPr>
          <w:rFonts w:ascii="Arial" w:cs="Arial" w:eastAsia="Arial" w:hAnsi="Arial"/>
          <w:b/>
          <w:bCs/>
          <w:sz w:val="21"/>
          <w:szCs w:val="21"/>
        </w:rPr>
        <w:t xml:space="preserve">Joshua L. Lopez</w:t>
      </w:r>
    </w:p>
    <w:p>
      <w:pPr>
        <w:spacing w:after="110" w:line="276"/>
        <w:jc w:val="left"/>
      </w:pPr>
      <w:r>
        <w:rPr>
          <w:rFonts w:ascii="Arial" w:cs="Arial" w:eastAsia="Arial" w:hAnsi="Arial"/>
          <w:sz w:val="21"/>
          <w:szCs w:val="21"/>
        </w:rPr>
        <w:t xml:space="preserve">Founder &amp; Chief Architect</w:t>
      </w:r>
    </w:p>
    <w:p>
      <w:pPr>
        <w:spacing w:after="110" w:line="276"/>
        <w:jc w:val="left"/>
      </w:pPr>
      <w:r>
        <w:rPr>
          <w:rFonts w:ascii="Arial" w:cs="Arial" w:eastAsia="Arial" w:hAnsi="Arial"/>
          <w:sz w:val="21"/>
          <w:szCs w:val="21"/>
        </w:rPr>
        <w:t xml:space="preserve">DCGP.AI — Distributed Constitutional Governance Platform</w:t>
      </w:r>
    </w:p>
    <w:p>
      <w:pPr>
        <w:spacing w:after="110" w:line="276"/>
        <w:jc w:val="left"/>
      </w:pPr>
      <w:r>
        <w:rPr>
          <w:rFonts w:ascii="Arial" w:cs="Arial" w:eastAsia="Arial" w:hAnsi="Arial"/>
          <w:sz w:val="21"/>
          <w:szCs w:val="21"/>
        </w:rPr>
        <w:t xml:space="preserve">Shalimar, FL 32579</w:t>
      </w:r>
    </w:p>
    <w:p>
      <w:pPr>
        <w:spacing w:after="110" w:line="276"/>
        <w:jc w:val="left"/>
      </w:pPr>
      <w:r>
        <w:rPr>
          <w:rFonts w:ascii="Arial" w:cs="Arial" w:eastAsia="Arial" w:hAnsi="Arial"/>
          <w:sz w:val="21"/>
          <w:szCs w:val="21"/>
        </w:rPr>
        <w:t xml:space="preserve">joshua@docgrokhealth.com | 850.368.7638</w:t>
      </w:r>
    </w:p>
    <w:p>
      <w:pPr>
        <w:spacing w:after="110" w:line="276"/>
        <w:jc w:val="left"/>
      </w:pPr>
      <w:r>
        <w:rPr>
          <w:rFonts w:ascii="Arial" w:cs="Arial" w:eastAsia="Arial" w:hAnsi="Arial"/>
          <w:sz w:val="21"/>
          <w:szCs w:val="21"/>
        </w:rPr>
        <w:t xml:space="preserve">USPTO Customer No.: 226575</w:t>
      </w:r>
    </w:p>
    <w:p>
      <w:pPr>
        <w:spacing w:after="120"/>
      </w:pPr>
      <w:r>
        <w:rPr>
          <w:rFonts w:ascii="Arial" w:cs="Arial" w:eastAsia="Arial" w:hAnsi="Arial"/>
          <w:sz w:val="4"/>
          <w:szCs w:val="4"/>
        </w:rPr>
        <w:t xml:space="preserve"/>
      </w:r>
    </w:p>
    <w:p>
      <w:pPr>
        <w:spacing w:after="110" w:line="276"/>
        <w:jc w:val="left"/>
      </w:pPr>
      <w:r>
        <w:rPr>
          <w:rFonts w:ascii="Arial" w:cs="Arial" w:eastAsia="Arial" w:hAnsi="Arial"/>
          <w:sz w:val="21"/>
          <w:szCs w:val="21"/>
        </w:rPr>
        <w:t xml:space="preserve">90+ Patent Filings | 6 Nonprovisionals Pending | 40+ Research Papers</w:t>
      </w:r>
    </w:p>
    <w:p>
      <w:pPr>
        <w:spacing w:after="120"/>
      </w:pPr>
      <w:r>
        <w:rPr>
          <w:rFonts w:ascii="Arial" w:cs="Arial" w:eastAsia="Arial" w:hAnsi="Arial"/>
          <w:sz w:val="4"/>
          <w:szCs w:val="4"/>
        </w:rPr>
        <w:t xml:space="preserve"/>
      </w:r>
    </w:p>
    <w:p>
      <w:pPr>
        <w:pBdr>
          <w:bottom w:val="single" w:color="1B2A4A" w:sz="6" w:space="1"/>
        </w:pBdr>
        <w:spacing w:after="120" w:before="120"/>
      </w:pPr>
    </w:p>
    <w:p>
      <w:pPr>
        <w:spacing w:after="120"/>
      </w:pPr>
      <w:r>
        <w:rPr>
          <w:rFonts w:ascii="Arial" w:cs="Arial" w:eastAsia="Arial" w:hAnsi="Arial"/>
          <w:sz w:val="4"/>
          <w:szCs w:val="4"/>
        </w:rPr>
        <w:t xml:space="preserve"/>
      </w:r>
    </w:p>
    <w:p>
      <w:pPr>
        <w:spacing w:after="80"/>
        <w:jc w:val="center"/>
      </w:pPr>
      <w:r>
        <w:rPr>
          <w:rFonts w:ascii="Arial" w:cs="Arial" w:eastAsia="Arial" w:hAnsi="Arial"/>
          <w:b/>
          <w:bCs/>
          <w:sz w:val="18"/>
          <w:szCs w:val="18"/>
        </w:rPr>
        <w:t xml:space="preserve">© 2026 Joshua L. Lopez and DCGP.AI LLC. All Rights Reserved.</w:t>
      </w:r>
    </w:p>
    <w:p>
      <w:pPr>
        <w:spacing w:after="80"/>
        <w:jc w:val="center"/>
      </w:pPr>
      <w:r>
        <w:rPr>
          <w:rFonts w:ascii="Arial" w:cs="Arial" w:eastAsia="Arial" w:hAnsi="Arial"/>
          <w:color w:val="888888"/>
          <w:sz w:val="16"/>
          <w:szCs w:val="16"/>
        </w:rPr>
        <w:t xml:space="preserve">Patent Pending. Underlying intellectual property originally authored 2021.</w:t>
      </w:r>
    </w:p>
    <w:p>
      <w:pPr>
        <w:spacing w:after="80"/>
        <w:jc w:val="center"/>
      </w:pPr>
      <w:r>
        <w:rPr>
          <w:rFonts w:ascii="Arial" w:cs="Arial" w:eastAsia="Arial" w:hAnsi="Arial"/>
          <w:color w:val="888888"/>
          <w:sz w:val="16"/>
          <w:szCs w:val="16"/>
        </w:rPr>
        <w:t xml:space="preserve">Reproduction prohibited without written authorization.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Roman"/>
      <w:lvlText w:val="FIG. %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26"/>
      <w:szCs w:val="26"/>
    </w:rPr>
  </w:style>
  <w:style w:type="paragraph" w:styleId="Heading2">
    <w:name w:val="Heading 2"/>
    <w:basedOn w:val="Normal"/>
    <w:next w:val="Normal"/>
    <w:qFormat/>
    <w:pPr>
      <w:spacing w:after="120" w:before="2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2026-04-11T23:42:49.318Z</dcterms:created>
  <dcterms:modified xsi:type="dcterms:W3CDTF">2026-04-11T23:42:49.319Z</dcterms:modified>
</cp:coreProperties>
</file>

<file path=docProps/custom.xml><?xml version="1.0" encoding="utf-8"?>
<Properties xmlns="http://schemas.openxmlformats.org/officeDocument/2006/custom-properties" xmlns:vt="http://schemas.openxmlformats.org/officeDocument/2006/docPropsVTypes"/>
</file>